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1B" w:rsidRPr="0051071B" w:rsidRDefault="0051071B" w:rsidP="0051071B">
      <w:pPr>
        <w:jc w:val="center"/>
        <w:rPr>
          <w:b/>
          <w:sz w:val="28"/>
          <w:szCs w:val="28"/>
        </w:rPr>
      </w:pPr>
      <w:r w:rsidRPr="0051071B">
        <w:rPr>
          <w:b/>
          <w:sz w:val="28"/>
          <w:szCs w:val="28"/>
        </w:rPr>
        <w:t>ПАСПОРТ ЛИНИИ</w:t>
      </w:r>
    </w:p>
    <w:tbl>
      <w:tblPr>
        <w:tblStyle w:val="a3"/>
        <w:tblpPr w:leftFromText="180" w:rightFromText="180" w:horzAnchor="margin" w:tblpY="651"/>
        <w:tblW w:w="10456" w:type="dxa"/>
        <w:tblLook w:val="04A0"/>
      </w:tblPr>
      <w:tblGrid>
        <w:gridCol w:w="2389"/>
        <w:gridCol w:w="8067"/>
      </w:tblGrid>
      <w:tr w:rsidR="00C12107" w:rsidTr="0054790B">
        <w:tc>
          <w:tcPr>
            <w:tcW w:w="2389" w:type="dxa"/>
          </w:tcPr>
          <w:p w:rsidR="00C12107" w:rsidRPr="00C12107" w:rsidRDefault="00C12107" w:rsidP="0051071B">
            <w:r w:rsidRPr="00C12107">
              <w:rPr>
                <w:b/>
                <w:bCs/>
                <w:sz w:val="23"/>
                <w:szCs w:val="23"/>
              </w:rPr>
              <w:t>Название</w:t>
            </w:r>
          </w:p>
        </w:tc>
        <w:tc>
          <w:tcPr>
            <w:tcW w:w="8067" w:type="dxa"/>
          </w:tcPr>
          <w:p w:rsidR="00C12107" w:rsidRPr="00FD60A7" w:rsidRDefault="00D57F0B" w:rsidP="0051071B">
            <w:pPr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HaCaT</w:t>
            </w:r>
            <w:proofErr w:type="spellEnd"/>
          </w:p>
        </w:tc>
      </w:tr>
      <w:tr w:rsidR="00C12107" w:rsidTr="0054790B">
        <w:tc>
          <w:tcPr>
            <w:tcW w:w="2389" w:type="dxa"/>
          </w:tcPr>
          <w:p w:rsidR="00C12107" w:rsidRDefault="00C12107" w:rsidP="0051071B">
            <w:r>
              <w:rPr>
                <w:b/>
                <w:bCs/>
                <w:sz w:val="23"/>
                <w:szCs w:val="23"/>
              </w:rPr>
              <w:t>Происхождение</w:t>
            </w:r>
          </w:p>
        </w:tc>
        <w:tc>
          <w:tcPr>
            <w:tcW w:w="8067" w:type="dxa"/>
          </w:tcPr>
          <w:p w:rsidR="00C12107" w:rsidRPr="00FD60A7" w:rsidRDefault="00C12107" w:rsidP="0051071B">
            <w:r>
              <w:t xml:space="preserve">Человек, </w:t>
            </w:r>
            <w:r w:rsidR="0092281A">
              <w:t>кожа</w:t>
            </w:r>
          </w:p>
          <w:p w:rsidR="00D57F0B" w:rsidRPr="00D57F0B" w:rsidRDefault="00D57F0B" w:rsidP="0051071B">
            <w:r>
              <w:t>М</w:t>
            </w:r>
            <w:r w:rsidRPr="00D57F0B">
              <w:t xml:space="preserve">ужчина европеоидной расы, 62 года </w:t>
            </w:r>
          </w:p>
          <w:p w:rsidR="008B5F46" w:rsidRPr="0092281A" w:rsidRDefault="0092281A" w:rsidP="0051071B">
            <w:r>
              <w:t>К</w:t>
            </w:r>
            <w:r w:rsidR="00D57F0B" w:rsidRPr="00D57F0B">
              <w:t>летки спонтанно трансформированные (</w:t>
            </w:r>
            <w:proofErr w:type="spellStart"/>
            <w:r w:rsidR="00D57F0B" w:rsidRPr="00D57F0B">
              <w:t>иммортализованные</w:t>
            </w:r>
            <w:proofErr w:type="spellEnd"/>
            <w:r w:rsidR="00D57F0B" w:rsidRPr="00D57F0B">
              <w:t xml:space="preserve">) </w:t>
            </w:r>
            <w:proofErr w:type="spellStart"/>
            <w:r w:rsidR="00D57F0B" w:rsidRPr="0092281A">
              <w:rPr>
                <w:i/>
              </w:rPr>
              <w:t>in</w:t>
            </w:r>
            <w:proofErr w:type="spellEnd"/>
            <w:r w:rsidR="00D57F0B" w:rsidRPr="0092281A">
              <w:rPr>
                <w:i/>
              </w:rPr>
              <w:t xml:space="preserve"> </w:t>
            </w:r>
            <w:proofErr w:type="spellStart"/>
            <w:r w:rsidR="00D57F0B" w:rsidRPr="0092281A">
              <w:rPr>
                <w:i/>
              </w:rPr>
              <w:t>vitro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 А</w:t>
            </w:r>
            <w:r w:rsidRPr="0092281A">
              <w:t xml:space="preserve">вторы: </w:t>
            </w:r>
            <w:proofErr w:type="spellStart"/>
            <w:r w:rsidRPr="0092281A">
              <w:t>Dr</w:t>
            </w:r>
            <w:proofErr w:type="spellEnd"/>
            <w:r w:rsidRPr="0092281A">
              <w:t xml:space="preserve">. N. </w:t>
            </w:r>
            <w:proofErr w:type="spellStart"/>
            <w:r w:rsidRPr="0092281A">
              <w:t>Fusenig</w:t>
            </w:r>
            <w:proofErr w:type="spellEnd"/>
            <w:r w:rsidRPr="0092281A">
              <w:t xml:space="preserve">, </w:t>
            </w:r>
            <w:proofErr w:type="spellStart"/>
            <w:r w:rsidRPr="0092281A">
              <w:t>Dr</w:t>
            </w:r>
            <w:proofErr w:type="spellEnd"/>
            <w:r w:rsidRPr="0092281A">
              <w:t xml:space="preserve">. P. </w:t>
            </w:r>
            <w:proofErr w:type="spellStart"/>
            <w:r w:rsidRPr="0092281A">
              <w:t>Boukamp</w:t>
            </w:r>
            <w:proofErr w:type="spellEnd"/>
          </w:p>
        </w:tc>
      </w:tr>
      <w:tr w:rsidR="008B5F46" w:rsidTr="0054790B">
        <w:tc>
          <w:tcPr>
            <w:tcW w:w="2389" w:type="dxa"/>
          </w:tcPr>
          <w:p w:rsidR="008B5F46" w:rsidRDefault="008B5F46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Заболевание</w:t>
            </w:r>
          </w:p>
        </w:tc>
        <w:tc>
          <w:tcPr>
            <w:tcW w:w="8067" w:type="dxa"/>
          </w:tcPr>
          <w:p w:rsidR="008B5F46" w:rsidRPr="00F5656D" w:rsidRDefault="008B5F46" w:rsidP="0051071B">
            <w:r>
              <w:t>Нормальная</w:t>
            </w:r>
            <w:r w:rsidR="00F5656D">
              <w:rPr>
                <w:lang w:val="en-US"/>
              </w:rPr>
              <w:t xml:space="preserve"> </w:t>
            </w:r>
            <w:r w:rsidR="00F5656D">
              <w:t>линия</w:t>
            </w:r>
          </w:p>
        </w:tc>
      </w:tr>
      <w:tr w:rsidR="00C12107" w:rsidTr="0054790B">
        <w:tc>
          <w:tcPr>
            <w:tcW w:w="2389" w:type="dxa"/>
          </w:tcPr>
          <w:p w:rsidR="00C12107" w:rsidRDefault="00C12107" w:rsidP="0051071B">
            <w:r>
              <w:rPr>
                <w:b/>
                <w:bCs/>
                <w:sz w:val="23"/>
                <w:szCs w:val="23"/>
              </w:rPr>
              <w:t>Морфология</w:t>
            </w:r>
          </w:p>
        </w:tc>
        <w:tc>
          <w:tcPr>
            <w:tcW w:w="8067" w:type="dxa"/>
          </w:tcPr>
          <w:p w:rsidR="00C12107" w:rsidRPr="0092281A" w:rsidRDefault="008B5F46" w:rsidP="0051071B">
            <w:proofErr w:type="spellStart"/>
            <w:r>
              <w:t>Эп</w:t>
            </w:r>
            <w:r w:rsidR="005209C2">
              <w:t>и</w:t>
            </w:r>
            <w:r>
              <w:t>телиоподобная</w:t>
            </w:r>
            <w:proofErr w:type="spellEnd"/>
            <w:r w:rsidR="0092281A">
              <w:rPr>
                <w:lang w:val="en-US"/>
              </w:rPr>
              <w:t xml:space="preserve"> (</w:t>
            </w:r>
            <w:proofErr w:type="spellStart"/>
            <w:r w:rsidR="0092281A">
              <w:t>кератиноциты</w:t>
            </w:r>
            <w:proofErr w:type="spellEnd"/>
            <w:r w:rsidR="0092281A">
              <w:t>)</w:t>
            </w:r>
          </w:p>
        </w:tc>
      </w:tr>
      <w:tr w:rsidR="00C12107" w:rsidTr="0054790B">
        <w:tc>
          <w:tcPr>
            <w:tcW w:w="2389" w:type="dxa"/>
          </w:tcPr>
          <w:p w:rsidR="00C12107" w:rsidRPr="008B5F46" w:rsidRDefault="008B5F46" w:rsidP="0051071B">
            <w:pPr>
              <w:rPr>
                <w:b/>
              </w:rPr>
            </w:pPr>
            <w:r w:rsidRPr="008B5F46">
              <w:rPr>
                <w:b/>
              </w:rPr>
              <w:t>Способ культивирования</w:t>
            </w:r>
          </w:p>
        </w:tc>
        <w:tc>
          <w:tcPr>
            <w:tcW w:w="8067" w:type="dxa"/>
          </w:tcPr>
          <w:p w:rsidR="00C12107" w:rsidRDefault="008B5F46" w:rsidP="0051071B">
            <w:proofErr w:type="spellStart"/>
            <w:r>
              <w:t>Адгезивный</w:t>
            </w:r>
            <w:proofErr w:type="spellEnd"/>
            <w:r>
              <w:t xml:space="preserve">, </w:t>
            </w:r>
            <w:proofErr w:type="spellStart"/>
            <w:r>
              <w:t>монослойный</w:t>
            </w:r>
            <w:proofErr w:type="spellEnd"/>
          </w:p>
        </w:tc>
      </w:tr>
      <w:tr w:rsidR="00C12107" w:rsidTr="0054790B">
        <w:tc>
          <w:tcPr>
            <w:tcW w:w="2389" w:type="dxa"/>
          </w:tcPr>
          <w:p w:rsidR="00C12107" w:rsidRDefault="008B5F46" w:rsidP="00F5656D">
            <w:r>
              <w:rPr>
                <w:b/>
                <w:bCs/>
                <w:sz w:val="23"/>
                <w:szCs w:val="23"/>
              </w:rPr>
              <w:t>Условия культивирования</w:t>
            </w:r>
            <w:r w:rsidR="00BD089C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8067" w:type="dxa"/>
          </w:tcPr>
          <w:p w:rsidR="00BD089C" w:rsidRPr="00205EF4" w:rsidRDefault="00BD089C" w:rsidP="0051071B">
            <w:r>
              <w:t xml:space="preserve">Среда: </w:t>
            </w:r>
            <w:r w:rsidRPr="007B5340">
              <w:t>DMEM</w:t>
            </w:r>
            <w:r w:rsidRPr="00BD089C">
              <w:t xml:space="preserve"> </w:t>
            </w:r>
            <w:proofErr w:type="spellStart"/>
            <w:r w:rsidRPr="007B5340">
              <w:t>c</w:t>
            </w:r>
            <w:proofErr w:type="spellEnd"/>
            <w:r w:rsidRPr="00BD089C">
              <w:t xml:space="preserve"> 10% </w:t>
            </w:r>
            <w:r>
              <w:t xml:space="preserve">эмбриональной телячьей сыворотки </w:t>
            </w:r>
            <w:r w:rsidR="007B5340">
              <w:t>и</w:t>
            </w:r>
            <w:r w:rsidR="00F5656D">
              <w:t xml:space="preserve"> </w:t>
            </w:r>
            <w:r w:rsidR="00F5656D" w:rsidRPr="00F5656D">
              <w:t xml:space="preserve">2мМ </w:t>
            </w:r>
            <w:r w:rsidR="007B5340">
              <w:t xml:space="preserve"> </w:t>
            </w:r>
            <w:r w:rsidR="00F5656D">
              <w:rPr>
                <w:lang w:val="en-US"/>
              </w:rPr>
              <w:t>L</w:t>
            </w:r>
            <w:r w:rsidR="00F5656D" w:rsidRPr="00F5656D">
              <w:t>-</w:t>
            </w:r>
            <w:proofErr w:type="spellStart"/>
            <w:r w:rsidR="007B5340">
              <w:t>глутамин</w:t>
            </w:r>
            <w:r w:rsidR="00F5656D">
              <w:t>а</w:t>
            </w:r>
            <w:proofErr w:type="spellEnd"/>
            <w:r w:rsidR="00F5656D" w:rsidRPr="00F5656D">
              <w:t xml:space="preserve">. </w:t>
            </w:r>
            <w:r w:rsidR="00205EF4">
              <w:t xml:space="preserve">Газовая среда (воздух) с </w:t>
            </w:r>
            <w:r w:rsidR="00205EF4" w:rsidRPr="005209C2">
              <w:t>5%</w:t>
            </w:r>
            <w:r w:rsidR="005209C2">
              <w:t xml:space="preserve"> СО</w:t>
            </w:r>
            <w:proofErr w:type="gramStart"/>
            <w:r w:rsidR="005209C2">
              <w:t>2</w:t>
            </w:r>
            <w:proofErr w:type="gramEnd"/>
          </w:p>
          <w:p w:rsidR="00BD089C" w:rsidRPr="007B5340" w:rsidRDefault="00BD089C" w:rsidP="0051071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Дл</w:t>
            </w:r>
            <w:r w:rsid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я снятия клеток используется </w:t>
            </w:r>
            <w:r w:rsidR="00F5656D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0,05%-</w:t>
            </w:r>
            <w:r w:rsid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0,</w:t>
            </w:r>
            <w:r w:rsidR="0092281A" w:rsidRP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</w:t>
            </w: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5% трипсин с EDTA (коммерческий, например, </w:t>
            </w:r>
            <w:proofErr w:type="spell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Gibco</w:t>
            </w:r>
            <w:proofErr w:type="spell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кат</w:t>
            </w:r>
            <w:proofErr w:type="gram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.н</w:t>
            </w:r>
            <w:proofErr w:type="gram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омер</w:t>
            </w:r>
            <w:proofErr w:type="spell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F5656D" w:rsidRPr="00F5656D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25200056/</w:t>
            </w: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25300096)</w:t>
            </w:r>
          </w:p>
          <w:p w:rsidR="00F5656D" w:rsidRDefault="00B63E03" w:rsidP="0092281A">
            <w:r>
              <w:t>Кратность р</w:t>
            </w:r>
            <w:r w:rsidR="00BB00CB">
              <w:t>ассев</w:t>
            </w:r>
            <w:r>
              <w:t>а</w:t>
            </w:r>
            <w:r w:rsidR="00BB00CB">
              <w:t xml:space="preserve"> </w:t>
            </w:r>
            <w:r w:rsidR="00BD089C">
              <w:t>1:</w:t>
            </w:r>
            <w:r w:rsidR="0092281A" w:rsidRPr="00F5656D">
              <w:t>5</w:t>
            </w:r>
            <w:r w:rsidR="00BD089C">
              <w:t xml:space="preserve"> – 1:</w:t>
            </w:r>
            <w:r w:rsidR="0092281A" w:rsidRPr="00F5656D">
              <w:t>10</w:t>
            </w:r>
            <w:r w:rsidR="00F5656D" w:rsidRPr="00F5656D">
              <w:t xml:space="preserve"> (</w:t>
            </w:r>
            <w:r w:rsidR="00F5656D">
              <w:t xml:space="preserve">рассев при достижении 80-90% </w:t>
            </w:r>
            <w:proofErr w:type="spellStart"/>
            <w:r w:rsidR="00F5656D">
              <w:t>конфлюэнтности</w:t>
            </w:r>
            <w:proofErr w:type="spellEnd"/>
            <w:r w:rsidR="00F5656D">
              <w:t>)</w:t>
            </w:r>
          </w:p>
          <w:p w:rsidR="00F5656D" w:rsidRPr="00F5656D" w:rsidRDefault="00F5656D" w:rsidP="0092281A">
            <w:r>
              <w:t>В</w:t>
            </w:r>
            <w:r w:rsidRPr="00F5656D">
              <w:t>ремя удвоения популяции: ок.20-24 ч</w:t>
            </w:r>
          </w:p>
        </w:tc>
      </w:tr>
      <w:tr w:rsidR="00C12107" w:rsidTr="0054790B">
        <w:tc>
          <w:tcPr>
            <w:tcW w:w="2389" w:type="dxa"/>
          </w:tcPr>
          <w:p w:rsidR="00C12107" w:rsidRPr="00BD089C" w:rsidRDefault="00BD089C" w:rsidP="0051071B">
            <w:pPr>
              <w:rPr>
                <w:b/>
              </w:rPr>
            </w:pPr>
            <w:r w:rsidRPr="00BD089C">
              <w:rPr>
                <w:b/>
              </w:rPr>
              <w:t xml:space="preserve">Условия </w:t>
            </w:r>
            <w:proofErr w:type="spellStart"/>
            <w:r w:rsidRPr="00BD089C">
              <w:rPr>
                <w:b/>
              </w:rPr>
              <w:t>криоконсер</w:t>
            </w:r>
            <w:r w:rsidR="0051071B">
              <w:rPr>
                <w:b/>
              </w:rPr>
              <w:t>ирования</w:t>
            </w:r>
            <w:proofErr w:type="spellEnd"/>
          </w:p>
        </w:tc>
        <w:tc>
          <w:tcPr>
            <w:tcW w:w="8067" w:type="dxa"/>
          </w:tcPr>
          <w:p w:rsidR="00C12107" w:rsidRDefault="00B63E03" w:rsidP="005107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Ростовая среда с 10% DMSO</w:t>
            </w:r>
          </w:p>
          <w:p w:rsidR="00205EF4" w:rsidRDefault="00205EF4" w:rsidP="005107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Хранить в парах жидкого азота</w:t>
            </w:r>
          </w:p>
          <w:p w:rsidR="0092281A" w:rsidRDefault="0092281A" w:rsidP="0051071B">
            <w:r>
              <w:t>Ж</w:t>
            </w:r>
            <w:r w:rsidRPr="0092281A">
              <w:t xml:space="preserve">изнеспособность после </w:t>
            </w:r>
            <w:proofErr w:type="spellStart"/>
            <w:r w:rsidRPr="0092281A">
              <w:t>криоконсервации</w:t>
            </w:r>
            <w:proofErr w:type="spellEnd"/>
            <w:r w:rsidRPr="0092281A">
              <w:t xml:space="preserve">: 95% (окраска </w:t>
            </w:r>
            <w:proofErr w:type="spellStart"/>
            <w:r w:rsidRPr="0092281A">
              <w:t>трипановым</w:t>
            </w:r>
            <w:proofErr w:type="spellEnd"/>
            <w:r w:rsidRPr="0092281A">
              <w:t xml:space="preserve"> синим на нулевом пассаже)</w:t>
            </w:r>
          </w:p>
        </w:tc>
      </w:tr>
      <w:tr w:rsidR="00C12107" w:rsidTr="0054790B">
        <w:tc>
          <w:tcPr>
            <w:tcW w:w="2389" w:type="dxa"/>
          </w:tcPr>
          <w:p w:rsidR="00B63E03" w:rsidRPr="00B63E03" w:rsidRDefault="00B63E03" w:rsidP="0051071B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Контроль контаминации</w:t>
            </w:r>
          </w:p>
          <w:p w:rsidR="00C12107" w:rsidRDefault="00C12107" w:rsidP="0051071B"/>
        </w:tc>
        <w:tc>
          <w:tcPr>
            <w:tcW w:w="8067" w:type="dxa"/>
          </w:tcPr>
          <w:p w:rsidR="003E45C6" w:rsidRPr="003E45C6" w:rsidRDefault="003E45C6" w:rsidP="003E45C6">
            <w:pPr>
              <w:rPr>
                <w:sz w:val="23"/>
                <w:szCs w:val="23"/>
              </w:rPr>
            </w:pPr>
            <w:r w:rsidRPr="003E45C6">
              <w:rPr>
                <w:sz w:val="23"/>
                <w:szCs w:val="23"/>
              </w:rPr>
              <w:t xml:space="preserve">Метод оптического анализа </w:t>
            </w:r>
            <w:proofErr w:type="spellStart"/>
            <w:r w:rsidRPr="003E45C6">
              <w:rPr>
                <w:sz w:val="23"/>
                <w:szCs w:val="23"/>
              </w:rPr>
              <w:t>культуральной</w:t>
            </w:r>
            <w:proofErr w:type="spellEnd"/>
            <w:r w:rsidRPr="003E45C6">
              <w:rPr>
                <w:sz w:val="23"/>
                <w:szCs w:val="23"/>
              </w:rPr>
              <w:t xml:space="preserve"> среды:</w:t>
            </w:r>
          </w:p>
          <w:p w:rsidR="003E45C6" w:rsidRPr="003E45C6" w:rsidRDefault="003E45C6" w:rsidP="003E45C6">
            <w:pPr>
              <w:rPr>
                <w:sz w:val="23"/>
                <w:szCs w:val="23"/>
              </w:rPr>
            </w:pPr>
            <w:r w:rsidRPr="003E45C6">
              <w:rPr>
                <w:sz w:val="23"/>
                <w:szCs w:val="23"/>
              </w:rPr>
              <w:t xml:space="preserve">бактерии, грибы не обнаружены </w:t>
            </w:r>
          </w:p>
          <w:p w:rsidR="00C12107" w:rsidRDefault="003E45C6" w:rsidP="003E45C6">
            <w:r w:rsidRPr="003E45C6">
              <w:rPr>
                <w:sz w:val="23"/>
                <w:szCs w:val="23"/>
              </w:rPr>
              <w:t xml:space="preserve">Метод: анализ ПЦР-РВ (чувствительность </w:t>
            </w:r>
            <w:proofErr w:type="gramStart"/>
            <w:r w:rsidRPr="003E45C6">
              <w:rPr>
                <w:sz w:val="23"/>
                <w:szCs w:val="23"/>
              </w:rPr>
              <w:t>к</w:t>
            </w:r>
            <w:proofErr w:type="gramEnd"/>
            <w:r w:rsidRPr="003E45C6">
              <w:rPr>
                <w:sz w:val="23"/>
                <w:szCs w:val="23"/>
              </w:rPr>
              <w:t xml:space="preserve"> более 50 видов </w:t>
            </w:r>
            <w:proofErr w:type="spellStart"/>
            <w:r w:rsidRPr="003E45C6">
              <w:rPr>
                <w:sz w:val="23"/>
                <w:szCs w:val="23"/>
              </w:rPr>
              <w:t>микоплазм</w:t>
            </w:r>
            <w:proofErr w:type="spellEnd"/>
            <w:r w:rsidRPr="003E45C6">
              <w:rPr>
                <w:sz w:val="23"/>
                <w:szCs w:val="23"/>
              </w:rPr>
              <w:t xml:space="preserve"> родов </w:t>
            </w:r>
            <w:proofErr w:type="spellStart"/>
            <w:r w:rsidRPr="003E45C6">
              <w:rPr>
                <w:sz w:val="23"/>
                <w:szCs w:val="23"/>
              </w:rPr>
              <w:t>Mycoplasma</w:t>
            </w:r>
            <w:proofErr w:type="spellEnd"/>
            <w:r w:rsidRPr="003E45C6">
              <w:rPr>
                <w:sz w:val="23"/>
                <w:szCs w:val="23"/>
              </w:rPr>
              <w:t xml:space="preserve"> и </w:t>
            </w:r>
            <w:proofErr w:type="spellStart"/>
            <w:r w:rsidRPr="003E45C6">
              <w:rPr>
                <w:sz w:val="23"/>
                <w:szCs w:val="23"/>
              </w:rPr>
              <w:t>Acholeplasma</w:t>
            </w:r>
            <w:proofErr w:type="spellEnd"/>
            <w:r w:rsidRPr="003E45C6">
              <w:rPr>
                <w:sz w:val="23"/>
                <w:szCs w:val="23"/>
              </w:rPr>
              <w:t xml:space="preserve">) - </w:t>
            </w:r>
            <w:proofErr w:type="spellStart"/>
            <w:r w:rsidRPr="003E45C6">
              <w:rPr>
                <w:sz w:val="23"/>
                <w:szCs w:val="23"/>
              </w:rPr>
              <w:t>Mycoplasma</w:t>
            </w:r>
            <w:proofErr w:type="spellEnd"/>
            <w:r w:rsidRPr="003E45C6">
              <w:rPr>
                <w:sz w:val="23"/>
                <w:szCs w:val="23"/>
              </w:rPr>
              <w:t xml:space="preserve"> не выявлена</w:t>
            </w:r>
          </w:p>
        </w:tc>
      </w:tr>
      <w:tr w:rsidR="00C12107" w:rsidTr="0054790B">
        <w:tc>
          <w:tcPr>
            <w:tcW w:w="2389" w:type="dxa"/>
          </w:tcPr>
          <w:p w:rsidR="00C12107" w:rsidRDefault="00C12107" w:rsidP="0051071B">
            <w:proofErr w:type="spellStart"/>
            <w:r>
              <w:rPr>
                <w:b/>
                <w:bCs/>
                <w:sz w:val="23"/>
                <w:szCs w:val="23"/>
              </w:rPr>
              <w:t>Кариологический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анализ</w:t>
            </w:r>
          </w:p>
        </w:tc>
        <w:tc>
          <w:tcPr>
            <w:tcW w:w="8067" w:type="dxa"/>
          </w:tcPr>
          <w:p w:rsidR="00C12107" w:rsidRDefault="00C12107" w:rsidP="0051071B">
            <w:pPr>
              <w:tabs>
                <w:tab w:val="left" w:pos="4215"/>
              </w:tabs>
              <w:rPr>
                <w:b/>
              </w:rPr>
            </w:pPr>
            <w:r>
              <w:t>G-дифференциальное окрашивание (</w:t>
            </w:r>
            <w:r w:rsidR="0092281A" w:rsidRPr="00F5656D">
              <w:t>1</w:t>
            </w:r>
            <w:r w:rsidRPr="00C12107">
              <w:t>0</w:t>
            </w:r>
            <w:r w:rsidR="00D51C32">
              <w:t xml:space="preserve"> метафаз</w:t>
            </w:r>
            <w:r>
              <w:t>).</w:t>
            </w:r>
          </w:p>
          <w:p w:rsidR="0092281A" w:rsidRPr="00F5656D" w:rsidRDefault="0092281A" w:rsidP="0092281A">
            <w:pPr>
              <w:tabs>
                <w:tab w:val="left" w:pos="4215"/>
              </w:tabs>
            </w:pPr>
            <w:r>
              <w:t>Кариотип</w:t>
            </w:r>
            <w:r w:rsidRPr="00F5656D">
              <w:t xml:space="preserve">: </w:t>
            </w:r>
          </w:p>
          <w:p w:rsidR="0092281A" w:rsidRPr="0092281A" w:rsidRDefault="0092281A" w:rsidP="0092281A">
            <w:pPr>
              <w:tabs>
                <w:tab w:val="left" w:pos="4215"/>
              </w:tabs>
              <w:rPr>
                <w:lang w:val="en-US"/>
              </w:rPr>
            </w:pPr>
            <w:r w:rsidRPr="0092281A">
              <w:rPr>
                <w:lang w:val="en-US"/>
              </w:rPr>
              <w:t>65~75&lt;4n-&gt;,XX,-Y,del(1)(p21),-2,der(3;4)(q10;q10)x2,der(4;18)(p10;q10)</w:t>
            </w:r>
            <w:r>
              <w:t>х</w:t>
            </w:r>
            <w:r w:rsidRPr="0092281A">
              <w:rPr>
                <w:lang w:val="en-US"/>
              </w:rPr>
              <w:t>2,-5,-6,i(7)(p10),-8,-9,i(9)(q10)x2,-10,-12,-14,der(15;19)(q10;p10),-16,-17,-21,+mar[cp10]</w:t>
            </w:r>
          </w:p>
          <w:p w:rsidR="0092281A" w:rsidRPr="0092281A" w:rsidRDefault="0092281A" w:rsidP="0092281A">
            <w:pPr>
              <w:tabs>
                <w:tab w:val="left" w:pos="4215"/>
              </w:tabs>
              <w:rPr>
                <w:lang w:val="en-US"/>
              </w:rPr>
            </w:pPr>
          </w:p>
          <w:p w:rsidR="00C12107" w:rsidRDefault="0092281A" w:rsidP="0092281A">
            <w:pPr>
              <w:tabs>
                <w:tab w:val="left" w:pos="4215"/>
              </w:tabs>
            </w:pPr>
            <w:proofErr w:type="spellStart"/>
            <w:r>
              <w:t>Гипотетраплоидный</w:t>
            </w:r>
            <w:proofErr w:type="spellEnd"/>
            <w:r>
              <w:t xml:space="preserve"> клон (65~75) с потерей Y хромосомы. Хромосомные нарушения (количественные и структурные) записаны в соответствии с модальным числом хромосом 4n.   </w:t>
            </w:r>
            <w:proofErr w:type="gramStart"/>
            <w:r>
              <w:t xml:space="preserve">Структурные изменения: </w:t>
            </w:r>
            <w:proofErr w:type="spellStart"/>
            <w:r>
              <w:t>делеция</w:t>
            </w:r>
            <w:proofErr w:type="spellEnd"/>
            <w:r>
              <w:t xml:space="preserve"> участка короткого плеча (1р21-&gt;1qter) 1-ой хромосомы, две деривативные хромосомы, образованные из длинных плеч 3-ей и 4-ой хромосом, две деривативные хромосомы, образованные из длинного плеча 18-ой хромосомы и короткого плеча 4-ой хромосомы, </w:t>
            </w:r>
            <w:proofErr w:type="spellStart"/>
            <w:r>
              <w:t>изохромосома</w:t>
            </w:r>
            <w:proofErr w:type="spellEnd"/>
            <w:r>
              <w:t xml:space="preserve"> 7 с короткими  плечами, две </w:t>
            </w:r>
            <w:proofErr w:type="spellStart"/>
            <w:r>
              <w:t>изохромосомы</w:t>
            </w:r>
            <w:proofErr w:type="spellEnd"/>
            <w:r>
              <w:t xml:space="preserve"> 9 с длинными плечами, деривативная хромосома, образованная из длинного плеча 15-ой хромосомы и короткого плеча 19-ой хромосомы, маркерная</w:t>
            </w:r>
            <w:proofErr w:type="gramEnd"/>
            <w:r>
              <w:t xml:space="preserve"> хромосома. Количественные изменения относительно набора 4n: -2,-5,-6,-8,-9,-10,-12,-14,-16,-17,-21.</w:t>
            </w:r>
          </w:p>
        </w:tc>
      </w:tr>
      <w:tr w:rsidR="00D51C32" w:rsidTr="0054790B">
        <w:tc>
          <w:tcPr>
            <w:tcW w:w="2389" w:type="dxa"/>
          </w:tcPr>
          <w:p w:rsidR="00D51C32" w:rsidRPr="00D51C32" w:rsidRDefault="00D51C32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STR-</w:t>
            </w:r>
            <w:r>
              <w:rPr>
                <w:b/>
                <w:bCs/>
                <w:sz w:val="23"/>
                <w:szCs w:val="23"/>
              </w:rPr>
              <w:t>профиль</w:t>
            </w:r>
          </w:p>
        </w:tc>
        <w:tc>
          <w:tcPr>
            <w:tcW w:w="8067" w:type="dxa"/>
          </w:tcPr>
          <w:p w:rsidR="008B5F46" w:rsidRPr="0092281A" w:rsidRDefault="008B5F46" w:rsidP="0051071B">
            <w:pPr>
              <w:tabs>
                <w:tab w:val="left" w:pos="4215"/>
              </w:tabs>
            </w:pPr>
            <w:r>
              <w:t>Идентичность подтверждена</w:t>
            </w:r>
            <w:r w:rsidR="0092281A" w:rsidRPr="0092281A">
              <w:t xml:space="preserve"> (100% </w:t>
            </w:r>
            <w:r w:rsidR="0092281A">
              <w:t>совпадение)</w:t>
            </w:r>
          </w:p>
          <w:tbl>
            <w:tblPr>
              <w:tblW w:w="2880" w:type="dxa"/>
              <w:tblLook w:val="04A0"/>
            </w:tblPr>
            <w:tblGrid>
              <w:gridCol w:w="960"/>
              <w:gridCol w:w="960"/>
              <w:gridCol w:w="960"/>
            </w:tblGrid>
            <w:tr w:rsidR="0092281A" w:rsidRPr="0092281A" w:rsidTr="0092281A">
              <w:trPr>
                <w:trHeight w:val="252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AMEL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X</w:t>
                  </w:r>
                </w:p>
              </w:tc>
            </w:tr>
            <w:tr w:rsidR="0092281A" w:rsidRPr="0092281A" w:rsidTr="0092281A">
              <w:trPr>
                <w:trHeight w:val="28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D3S1358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92281A" w:rsidRPr="0092281A" w:rsidTr="0092281A">
              <w:trPr>
                <w:trHeight w:val="28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TH01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9.3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9.3</w:t>
                  </w:r>
                </w:p>
              </w:tc>
            </w:tr>
            <w:tr w:rsidR="0092281A" w:rsidRPr="0092281A" w:rsidTr="0092281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D12S391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</w:tr>
            <w:tr w:rsidR="0092281A" w:rsidRPr="0092281A" w:rsidTr="0092281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D1S1656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92281A" w:rsidRPr="0092281A" w:rsidTr="0092281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D10S1248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</w:tr>
            <w:tr w:rsidR="0092281A" w:rsidRPr="0092281A" w:rsidTr="0092281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D22S1045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92281A" w:rsidRPr="0092281A" w:rsidTr="0092281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D2S441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</w:tr>
            <w:tr w:rsidR="0092281A" w:rsidRPr="0092281A" w:rsidTr="0092281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D7S820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</w:tr>
            <w:tr w:rsidR="0092281A" w:rsidRPr="0092281A" w:rsidTr="0092281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D13S317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92281A" w:rsidRPr="0092281A" w:rsidTr="0092281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FGA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</w:tr>
            <w:tr w:rsidR="0092281A" w:rsidRPr="0092281A" w:rsidTr="0092281A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TPOX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92281A" w:rsidRPr="0092281A" w:rsidTr="0092281A">
              <w:trPr>
                <w:trHeight w:val="27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D18S51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92281A" w:rsidRPr="0092281A" w:rsidTr="0092281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D16S539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92281A" w:rsidRPr="0092281A" w:rsidTr="0092281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D8S1179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</w:tr>
            <w:tr w:rsidR="0092281A" w:rsidRPr="0092281A" w:rsidTr="0092281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CSF1PO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</w:tr>
            <w:tr w:rsidR="0092281A" w:rsidRPr="0092281A" w:rsidTr="0092281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D5S818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92281A" w:rsidRPr="0092281A" w:rsidTr="0092281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vWA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</w:tr>
            <w:tr w:rsidR="0092281A" w:rsidRPr="0092281A" w:rsidTr="0092281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D21S11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30.2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30.2</w:t>
                  </w:r>
                </w:p>
              </w:tc>
            </w:tr>
            <w:tr w:rsidR="0092281A" w:rsidRPr="0092281A" w:rsidTr="0092281A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SE33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2281A" w:rsidRPr="0092281A" w:rsidRDefault="0092281A" w:rsidP="003E45C6">
                  <w:pPr>
                    <w:framePr w:hSpace="180" w:wrap="around" w:hAnchor="margin" w:y="65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2281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28.2</w:t>
                  </w:r>
                </w:p>
              </w:tc>
            </w:tr>
          </w:tbl>
          <w:p w:rsidR="008B5F46" w:rsidRPr="008B5F46" w:rsidRDefault="008B5F46" w:rsidP="0051071B">
            <w:pPr>
              <w:tabs>
                <w:tab w:val="left" w:pos="4215"/>
              </w:tabs>
              <w:rPr>
                <w:lang w:val="en-US"/>
              </w:rPr>
            </w:pPr>
          </w:p>
        </w:tc>
      </w:tr>
      <w:tr w:rsidR="00FD60A7" w:rsidRPr="00830B75" w:rsidTr="0054790B">
        <w:tc>
          <w:tcPr>
            <w:tcW w:w="2389" w:type="dxa"/>
          </w:tcPr>
          <w:p w:rsidR="00FD60A7" w:rsidRDefault="0051071B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Х</w:t>
            </w:r>
            <w:r w:rsidR="00B63E03" w:rsidRPr="00B63E03">
              <w:rPr>
                <w:b/>
                <w:bCs/>
                <w:sz w:val="23"/>
                <w:szCs w:val="23"/>
              </w:rPr>
              <w:t>арактеристики:</w:t>
            </w:r>
          </w:p>
          <w:p w:rsidR="00FD60A7" w:rsidRPr="00FD60A7" w:rsidRDefault="00FD60A7" w:rsidP="0051071B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067" w:type="dxa"/>
          </w:tcPr>
          <w:p w:rsidR="00FD60A7" w:rsidRDefault="00830B75" w:rsidP="0051071B">
            <w:pPr>
              <w:tabs>
                <w:tab w:val="left" w:pos="4215"/>
              </w:tabs>
            </w:pPr>
            <w:proofErr w:type="spellStart"/>
            <w:r>
              <w:t>Экспрессирует</w:t>
            </w:r>
            <w:proofErr w:type="spellEnd"/>
            <w:r>
              <w:t xml:space="preserve"> следующие маркеры:</w:t>
            </w:r>
          </w:p>
          <w:p w:rsidR="00830B75" w:rsidRDefault="00F5656D" w:rsidP="0051071B">
            <w:pPr>
              <w:tabs>
                <w:tab w:val="left" w:pos="4215"/>
              </w:tabs>
            </w:pPr>
            <w:r w:rsidRPr="00F5656D">
              <w:t xml:space="preserve">эпителиальные  маркеры,  распознаваемые антителами к </w:t>
            </w:r>
            <w:proofErr w:type="spellStart"/>
            <w:r w:rsidRPr="00F5656D">
              <w:t>панцитокератину</w:t>
            </w:r>
            <w:proofErr w:type="spellEnd"/>
            <w:r>
              <w:t>;</w:t>
            </w:r>
          </w:p>
          <w:p w:rsidR="00F5656D" w:rsidRPr="00F5656D" w:rsidRDefault="00F5656D" w:rsidP="0051071B">
            <w:pPr>
              <w:tabs>
                <w:tab w:val="left" w:pos="4215"/>
              </w:tabs>
            </w:pPr>
            <w:r>
              <w:t>актин</w:t>
            </w:r>
          </w:p>
        </w:tc>
      </w:tr>
      <w:tr w:rsidR="00EC4FD3" w:rsidRPr="00EC4FD3" w:rsidTr="0054790B">
        <w:tc>
          <w:tcPr>
            <w:tcW w:w="10456" w:type="dxa"/>
            <w:gridSpan w:val="2"/>
          </w:tcPr>
          <w:p w:rsidR="00EC4FD3" w:rsidRPr="00EC4FD3" w:rsidRDefault="00EC4FD3" w:rsidP="0051071B">
            <w:pPr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Публикации</w:t>
            </w:r>
            <w:r w:rsidRPr="00EC4FD3">
              <w:rPr>
                <w:b/>
                <w:bCs/>
                <w:sz w:val="23"/>
                <w:szCs w:val="23"/>
                <w:lang w:val="en-US"/>
              </w:rPr>
              <w:t>:</w:t>
            </w:r>
          </w:p>
          <w:p w:rsidR="00EC4FD3" w:rsidRPr="0092281A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Boukamp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P.,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Dzarlieva-Petrussevska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R.T.,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Breitkreutz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D.,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Hornu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ng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J., Markham A., </w:t>
            </w:r>
            <w:proofErr w:type="spellStart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Fusenig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N.E. 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Normal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keratinization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in a spontaneously immortalized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aneuploi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d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human </w:t>
            </w:r>
            <w:proofErr w:type="spellStart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keratinocyte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cell line. 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J. Cell Biol. 106:761-771(1988)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PubMed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=</w:t>
            </w:r>
            <w:hyperlink r:id="rId4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2450098</w:t>
              </w:r>
            </w:hyperlink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; DOI=</w:t>
            </w:r>
            <w:hyperlink r:id="rId5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10.1083/jcb.106.3.761</w:t>
              </w:r>
            </w:hyperlink>
          </w:p>
          <w:p w:rsidR="00EC4FD3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br/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Schurer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N.,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Kohne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A.,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Schliep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V.,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Barlag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K.,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Goerz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G.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Lipid composition and synthesis of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HaCaT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cells, an immortalized human keratinocyte line, in comparison with normal human adult keratinocytes.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Exp.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Dermatol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. 2:179-185(1993)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PubMed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=</w:t>
            </w:r>
            <w:hyperlink r:id="rId6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8162337</w:t>
              </w:r>
            </w:hyperlink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; DOI=</w:t>
            </w:r>
            <w:hyperlink r:id="rId7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10.1111/j.1600-0625.1993.tb00030.x</w:t>
              </w:r>
            </w:hyperlink>
          </w:p>
          <w:p w:rsidR="00EC4FD3" w:rsidRPr="0092281A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</w:p>
          <w:p w:rsidR="00EC4FD3" w:rsidRPr="003E45C6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Style w:val="a7"/>
                <w:rFonts w:ascii="inherit" w:hAnsi="inherit"/>
                <w:sz w:val="18"/>
                <w:szCs w:val="18"/>
                <w:lang w:val="en-US"/>
              </w:rPr>
            </w:pP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Lehman T.A.,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Modali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R.,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Boukamp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P.,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Stanek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J., Bennett W.P., Welsh J.A., Metcalf R.A.,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Stampfer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M.R.,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Fusenig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N., R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ogan E.M., Harris C.C. 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p53 mutations in human immo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rtalized epithelial cell lines. 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Carcinogenesis 14:833-839(1993)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PubMed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=</w:t>
            </w:r>
            <w:hyperlink r:id="rId8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8504475</w:t>
              </w:r>
            </w:hyperlink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; DOI=</w:t>
            </w:r>
            <w:hyperlink r:id="rId9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10.1093/</w:t>
              </w:r>
              <w:proofErr w:type="spellStart"/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carcin</w:t>
              </w:r>
              <w:proofErr w:type="spellEnd"/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/14.5.833</w:t>
              </w:r>
            </w:hyperlink>
          </w:p>
          <w:p w:rsidR="00EC4FD3" w:rsidRPr="003E45C6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</w:p>
          <w:p w:rsidR="00EC4FD3" w:rsidRPr="003E45C6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Style w:val="a7"/>
                <w:rFonts w:ascii="inherit" w:hAnsi="inherit"/>
                <w:sz w:val="18"/>
                <w:szCs w:val="18"/>
                <w:lang w:val="en-US"/>
              </w:rPr>
            </w:pP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Jia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L.-Q.,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Osada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M.,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Ishioka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C.,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Gamo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M.,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Ikawa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S., Suzuki T.,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Shimodaira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H.,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Niitani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T.,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Kudo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T., Akiyama M., Kimura N., Matsuo M.,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Mizusawa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H., Tanaka N., Koyama H.,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N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amba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M., </w:t>
            </w:r>
            <w:proofErr w:type="spellStart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Kanamaru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R., Kuroki T. 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Screening the p53 status of human cell lines 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using a yeast functional assay. 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Mol.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Carcinog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. 19:243-253(1997)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PubMed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=</w:t>
            </w:r>
            <w:hyperlink r:id="rId10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9290701</w:t>
              </w:r>
            </w:hyperlink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; DOI=</w:t>
            </w:r>
            <w:hyperlink r:id="rId11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10.1002/(SICI)1098-2744(199708)19:4&lt;243::AID-MC5&gt;3.0.CO;2-D</w:t>
              </w:r>
            </w:hyperlink>
          </w:p>
          <w:p w:rsidR="00EC4FD3" w:rsidRPr="003E45C6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</w:p>
          <w:p w:rsidR="00EC4FD3" w:rsidRPr="003E45C6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Style w:val="a7"/>
                <w:rFonts w:ascii="inherit" w:hAnsi="inherit"/>
                <w:sz w:val="18"/>
                <w:szCs w:val="18"/>
                <w:lang w:val="en-US"/>
              </w:rPr>
            </w:pP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Henseleit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U., Zhang J.,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Wanner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R.,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H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aase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I., </w:t>
            </w:r>
            <w:proofErr w:type="spellStart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Kolde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G., </w:t>
            </w:r>
            <w:proofErr w:type="spellStart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Rosenbach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T. 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Role of p53 in UVB-induced apoptosi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s in human </w:t>
            </w:r>
            <w:proofErr w:type="spellStart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HaCaT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keratinocytes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. 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J. Invest.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Dermatol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. 109:722-727(1997)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PubMed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=</w:t>
            </w:r>
            <w:hyperlink r:id="rId12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9406811</w:t>
              </w:r>
            </w:hyperlink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; DOI=</w:t>
            </w:r>
            <w:hyperlink r:id="rId13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10.1111/1523-1747.ep12340708</w:t>
              </w:r>
            </w:hyperlink>
          </w:p>
          <w:p w:rsidR="00EC4FD3" w:rsidRPr="003E45C6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</w:p>
          <w:p w:rsidR="00EC4FD3" w:rsidRPr="003E45C6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Style w:val="a7"/>
                <w:rFonts w:ascii="inherit" w:hAnsi="inherit"/>
                <w:sz w:val="18"/>
                <w:szCs w:val="18"/>
                <w:lang w:val="en-US"/>
              </w:rPr>
            </w:pP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Lemaitre G., Lamartine J.,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Pitaval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A.,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Vaigot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P.,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Garin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J.,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Bouet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S.,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Petat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C.,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Soularue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P.,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Gidrol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X., Martin M.T., Wak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sman G. 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Expression profiling of genes and proteins in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HaCaT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keratinocytes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: proliferati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ng versus differentiated state. 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J. Cell.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Biochem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. 93:1048-1062(2004)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PubMed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=</w:t>
            </w:r>
            <w:hyperlink r:id="rId14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15389883</w:t>
              </w:r>
            </w:hyperlink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; DOI=</w:t>
            </w:r>
            <w:hyperlink r:id="rId15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10.1002/jcb.20212</w:t>
              </w:r>
            </w:hyperlink>
          </w:p>
          <w:p w:rsidR="00EC4FD3" w:rsidRPr="003E45C6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</w:p>
          <w:p w:rsidR="00EC4FD3" w:rsidRPr="003E45C6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Style w:val="a7"/>
                <w:rFonts w:ascii="inherit" w:hAnsi="inherit"/>
                <w:sz w:val="18"/>
                <w:szCs w:val="18"/>
                <w:lang w:val="en-US"/>
              </w:rPr>
            </w:pP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Burkard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T.R.,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Planyavsky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M.,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Kaupe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I.,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Breitwieser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F.P.,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Burckstummer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T., Bennett K.L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., </w:t>
            </w:r>
            <w:proofErr w:type="spellStart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Superti-Furga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G., </w:t>
            </w:r>
            <w:proofErr w:type="spellStart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Colinge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J. 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Initial characterization of the human central proteome.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br/>
              <w:t xml:space="preserve">BMC Syst. Biol. 5:17-17(2011)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PubMed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=</w:t>
            </w:r>
            <w:hyperlink r:id="rId16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21269460</w:t>
              </w:r>
            </w:hyperlink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; DOI=</w:t>
            </w:r>
            <w:hyperlink r:id="rId17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10.1186/1752-0509-5-17</w:t>
              </w:r>
            </w:hyperlink>
          </w:p>
          <w:p w:rsidR="00EC4FD3" w:rsidRPr="003E45C6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</w:p>
          <w:p w:rsidR="00EC4FD3" w:rsidRPr="003E45C6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Style w:val="a7"/>
                <w:rFonts w:ascii="inherit" w:hAnsi="inherit"/>
                <w:sz w:val="18"/>
                <w:szCs w:val="18"/>
                <w:lang w:val="en-US"/>
              </w:rPr>
            </w:pP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Zhao M., Sano D., Pickering C.R.,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Jasser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S.A., Henderson Y.C.,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Clayman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G.L., Sturgis E.M.,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Ow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T.J.,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Lotan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R., Carey T.E., Sacks P.G.,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Grandis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J.R.,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Sidransky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D.,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Heldin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N.-E., Myers J.N.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br/>
              <w:t xml:space="preserve">Assembly and initial characterization of a panel of 85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genomically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validated cell lines from div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erse head and neck tumor sites.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Clin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. Cancer Res. 17:7248-7264(2011)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PubMed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=</w:t>
            </w:r>
            <w:hyperlink r:id="rId18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21868764</w:t>
              </w:r>
            </w:hyperlink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; DOI=</w:t>
            </w:r>
            <w:hyperlink r:id="rId19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10.1158/1078-0432.CCR-11-0690</w:t>
              </w:r>
            </w:hyperlink>
          </w:p>
          <w:p w:rsidR="00EC4FD3" w:rsidRPr="003E45C6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Style w:val="a7"/>
                <w:rFonts w:ascii="inherit" w:hAnsi="inherit"/>
                <w:sz w:val="18"/>
                <w:szCs w:val="18"/>
                <w:lang w:val="en-US"/>
              </w:rPr>
            </w:pP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br/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Elbediwy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A., Vincent-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Mistiaen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Z.I., Spencer-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Dene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B., Stone R.K., Boeing S.,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Wculek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S.K., Cordero J., Tan E.H., Ridgway R.,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Brunton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V.G.,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Sahai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E., Gerhardt H., Behrens A.,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Malanchi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I., </w:t>
            </w:r>
            <w:proofErr w:type="spellStart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Sansom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O.J., Thompson B.J.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Integrin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signalling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regulates YAP and TAZ to contr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ol skin homeostasis. 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Development 143:1674-1687(2016)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PubMed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=</w:t>
            </w:r>
            <w:hyperlink r:id="rId20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26989177</w:t>
              </w:r>
            </w:hyperlink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; DOI=</w:t>
            </w:r>
            <w:hyperlink r:id="rId21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10.1242/dev.133728</w:t>
              </w:r>
            </w:hyperlink>
          </w:p>
          <w:p w:rsidR="00EC4FD3" w:rsidRPr="003E45C6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</w:p>
          <w:p w:rsidR="00EC4FD3" w:rsidRPr="00EC4FD3" w:rsidRDefault="00EC4FD3" w:rsidP="0092281A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lang w:val="en-US"/>
              </w:rPr>
            </w:pP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Touat-Hamici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Z.,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Bulteau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A.-L.,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Bianga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J., Jean-Jacques H.,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Szpun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ar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J., </w:t>
            </w:r>
            <w:proofErr w:type="spellStart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Lobinski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R., </w:t>
            </w:r>
            <w:proofErr w:type="spellStart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Chavatte</w:t>
            </w:r>
            <w:proofErr w:type="spellEnd"/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L. </w:t>
            </w:r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Selenium-regulated hierarchy of human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selenoproteome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in cancerou</w:t>
            </w:r>
            <w:r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s and immortalized cells lines.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Biochim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Biophys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Acta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 1862:2493-2505(2018) </w:t>
            </w:r>
            <w:proofErr w:type="spellStart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PubMed</w:t>
            </w:r>
            <w:proofErr w:type="spellEnd"/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=</w:t>
            </w:r>
            <w:hyperlink r:id="rId22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29660373</w:t>
              </w:r>
            </w:hyperlink>
            <w:r w:rsidRPr="0092281A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; DOI=</w:t>
            </w:r>
            <w:hyperlink r:id="rId23" w:history="1">
              <w:r w:rsidRPr="0092281A">
                <w:rPr>
                  <w:rStyle w:val="a7"/>
                  <w:rFonts w:ascii="inherit" w:hAnsi="inherit"/>
                  <w:sz w:val="18"/>
                  <w:szCs w:val="18"/>
                  <w:lang w:val="en-US"/>
                </w:rPr>
                <w:t>10.1016/j.bbagen.2018.04.012</w:t>
              </w:r>
            </w:hyperlink>
          </w:p>
        </w:tc>
      </w:tr>
    </w:tbl>
    <w:p w:rsidR="00B63E03" w:rsidRPr="00EC4FD3" w:rsidRDefault="00B63E03">
      <w:pPr>
        <w:rPr>
          <w:lang w:val="en-US"/>
        </w:rPr>
      </w:pPr>
    </w:p>
    <w:p w:rsidR="008B0D85" w:rsidRPr="008B0D85" w:rsidRDefault="008B0D85">
      <w:pPr>
        <w:rPr>
          <w:b/>
          <w:u w:val="single"/>
        </w:rPr>
      </w:pPr>
      <w:r w:rsidRPr="008B0D85">
        <w:rPr>
          <w:b/>
          <w:u w:val="single"/>
        </w:rPr>
        <w:t>Фотографии культуры</w:t>
      </w:r>
    </w:p>
    <w:p w:rsidR="00F5656D" w:rsidRPr="00585926" w:rsidRDefault="00F5656D" w:rsidP="00EC4FD3">
      <w:pPr>
        <w:tabs>
          <w:tab w:val="left" w:pos="935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70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11304" cy="1966537"/>
            <wp:effectExtent l="19050" t="0" r="0" b="0"/>
            <wp:docPr id="1" name="Рисунок 3" descr="C:\Users\aCER\Desktop\фоты обработаные\phalloidin\HaCaTС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:\Users\aCER\Desktop\фоты обработаные\phalloidin\HaCaTСЖ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77" cy="196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0070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09951" cy="1967716"/>
            <wp:effectExtent l="19050" t="0" r="0" b="0"/>
            <wp:docPr id="2" name="Рисунок 4" descr="C:\Users\aCER\Desktop\фоты обработаные\panCK\HaCaTС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aCER\Desktop\фоты обработаные\panCK\HaCaTСЖ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659" cy="197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6D" w:rsidRDefault="00F5656D" w:rsidP="00F565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Выявление а</w:t>
      </w:r>
      <w:r w:rsidRPr="00832095">
        <w:rPr>
          <w:rFonts w:ascii="Times New Roman" w:hAnsi="Times New Roman" w:cs="Times New Roman"/>
          <w:sz w:val="20"/>
          <w:szCs w:val="20"/>
        </w:rPr>
        <w:t>ктин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832095">
        <w:rPr>
          <w:rFonts w:ascii="Times New Roman" w:hAnsi="Times New Roman" w:cs="Times New Roman"/>
          <w:sz w:val="20"/>
          <w:szCs w:val="20"/>
        </w:rPr>
        <w:t xml:space="preserve"> (зеленый) – окраска </w:t>
      </w:r>
      <w:proofErr w:type="spellStart"/>
      <w:r w:rsidRPr="00832095">
        <w:rPr>
          <w:rFonts w:ascii="Times New Roman" w:hAnsi="Times New Roman" w:cs="Times New Roman"/>
          <w:sz w:val="20"/>
          <w:szCs w:val="20"/>
        </w:rPr>
        <w:t>фаллоидином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Выявление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панцитокератина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(зеленый)</w:t>
      </w:r>
    </w:p>
    <w:p w:rsidR="00F5656D" w:rsidRPr="003D1A01" w:rsidRDefault="00F5656D" w:rsidP="00F565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2944" cy="2012637"/>
            <wp:effectExtent l="19050" t="0" r="0" b="0"/>
            <wp:docPr id="3" name="Рисунок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26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949" cy="201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8182" cy="2016581"/>
            <wp:effectExtent l="19050" t="0" r="7868" b="0"/>
            <wp:docPr id="4" name="Рисунок 1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27" cstate="print">
                      <a:lum bright="-2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308" cy="202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56D" w:rsidRDefault="00F5656D" w:rsidP="00F565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59DB">
        <w:rPr>
          <w:rFonts w:ascii="Times New Roman" w:hAnsi="Times New Roman" w:cs="Times New Roman"/>
          <w:sz w:val="20"/>
          <w:szCs w:val="20"/>
        </w:rPr>
        <w:t xml:space="preserve">Клетки линии </w:t>
      </w:r>
      <w:proofErr w:type="spellStart"/>
      <w:r w:rsidRPr="00AD59DB">
        <w:rPr>
          <w:rFonts w:ascii="Times New Roman" w:hAnsi="Times New Roman" w:cs="Times New Roman"/>
          <w:sz w:val="20"/>
          <w:szCs w:val="20"/>
        </w:rPr>
        <w:t>HaCaT</w:t>
      </w:r>
      <w:proofErr w:type="spellEnd"/>
      <w:r w:rsidRPr="00AD59DB">
        <w:rPr>
          <w:rFonts w:ascii="Times New Roman" w:hAnsi="Times New Roman" w:cs="Times New Roman"/>
          <w:sz w:val="20"/>
          <w:szCs w:val="20"/>
        </w:rPr>
        <w:t xml:space="preserve"> на следующий день после пересева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5656D" w:rsidRDefault="00F5656D" w:rsidP="00F565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2716835" cy="2045685"/>
            <wp:effectExtent l="19050" t="0" r="7315" b="0"/>
            <wp:docPr id="5" name="Рисунок 4" descr="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/>
                  </pic:nvPicPr>
                  <pic:blipFill>
                    <a:blip r:embed="rId2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392" cy="204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56D" w:rsidRDefault="00F5656D" w:rsidP="00EC4F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59DB">
        <w:rPr>
          <w:rFonts w:ascii="Times New Roman" w:hAnsi="Times New Roman" w:cs="Times New Roman"/>
          <w:sz w:val="20"/>
          <w:szCs w:val="20"/>
        </w:rPr>
        <w:t xml:space="preserve">Клетки линии </w:t>
      </w:r>
      <w:proofErr w:type="spellStart"/>
      <w:r w:rsidRPr="00AD59DB">
        <w:rPr>
          <w:rFonts w:ascii="Times New Roman" w:hAnsi="Times New Roman" w:cs="Times New Roman"/>
          <w:sz w:val="20"/>
          <w:szCs w:val="20"/>
        </w:rPr>
        <w:t>HaCaT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образовавшие </w:t>
      </w:r>
      <w:proofErr w:type="spellStart"/>
      <w:r>
        <w:rPr>
          <w:rFonts w:ascii="Times New Roman" w:hAnsi="Times New Roman" w:cs="Times New Roman"/>
          <w:sz w:val="20"/>
          <w:szCs w:val="20"/>
        </w:rPr>
        <w:t>монослой</w:t>
      </w:r>
      <w:proofErr w:type="spellEnd"/>
    </w:p>
    <w:p w:rsidR="00EC4FD3" w:rsidRDefault="00830B75" w:rsidP="00EC4FD3">
      <w:pPr>
        <w:spacing w:after="0"/>
      </w:pPr>
      <w:r w:rsidRPr="00EC4FD3">
        <w:t xml:space="preserve">  </w:t>
      </w:r>
    </w:p>
    <w:p w:rsidR="00EC4FD3" w:rsidRPr="0054790B" w:rsidRDefault="00EC4FD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C4FD3" w:rsidRPr="0054790B" w:rsidSect="00EC4FD3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0A18"/>
    <w:rsid w:val="00126220"/>
    <w:rsid w:val="00131C98"/>
    <w:rsid w:val="00205EF4"/>
    <w:rsid w:val="00213076"/>
    <w:rsid w:val="00312EF4"/>
    <w:rsid w:val="003E45C6"/>
    <w:rsid w:val="004D0EF0"/>
    <w:rsid w:val="0051071B"/>
    <w:rsid w:val="00510A18"/>
    <w:rsid w:val="005209C2"/>
    <w:rsid w:val="0054790B"/>
    <w:rsid w:val="00652A25"/>
    <w:rsid w:val="007B5340"/>
    <w:rsid w:val="00830B75"/>
    <w:rsid w:val="008A453F"/>
    <w:rsid w:val="008B0D85"/>
    <w:rsid w:val="008B5F46"/>
    <w:rsid w:val="009137D9"/>
    <w:rsid w:val="0092281A"/>
    <w:rsid w:val="00987FF1"/>
    <w:rsid w:val="00B2300D"/>
    <w:rsid w:val="00B63E03"/>
    <w:rsid w:val="00BB00CB"/>
    <w:rsid w:val="00BD089C"/>
    <w:rsid w:val="00C12107"/>
    <w:rsid w:val="00D51C32"/>
    <w:rsid w:val="00D57F0B"/>
    <w:rsid w:val="00EC4FD3"/>
    <w:rsid w:val="00F5656D"/>
    <w:rsid w:val="00FD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3F"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0B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0B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8504475" TargetMode="External"/><Relationship Id="rId13" Type="http://schemas.openxmlformats.org/officeDocument/2006/relationships/hyperlink" Target="http://dx.doi.org/10.1111/1523-1747.ep12340708" TargetMode="External"/><Relationship Id="rId18" Type="http://schemas.openxmlformats.org/officeDocument/2006/relationships/hyperlink" Target="https://www.ncbi.nlm.nih.gov/pubmed/21868764" TargetMode="External"/><Relationship Id="rId26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hyperlink" Target="http://dx.doi.org/10.1242/dev.133728" TargetMode="External"/><Relationship Id="rId7" Type="http://schemas.openxmlformats.org/officeDocument/2006/relationships/hyperlink" Target="http://dx.doi.org/10.1111/j.1600-0625.1993.tb00030.x" TargetMode="External"/><Relationship Id="rId12" Type="http://schemas.openxmlformats.org/officeDocument/2006/relationships/hyperlink" Target="https://www.ncbi.nlm.nih.gov/pubmed/9406811" TargetMode="External"/><Relationship Id="rId17" Type="http://schemas.openxmlformats.org/officeDocument/2006/relationships/hyperlink" Target="http://dx.doi.org/10.1186/1752-0509-5-17" TargetMode="External"/><Relationship Id="rId25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pubmed/21269460" TargetMode="External"/><Relationship Id="rId20" Type="http://schemas.openxmlformats.org/officeDocument/2006/relationships/hyperlink" Target="https://www.ncbi.nlm.nih.gov/pubmed/26989177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8162337" TargetMode="External"/><Relationship Id="rId11" Type="http://schemas.openxmlformats.org/officeDocument/2006/relationships/hyperlink" Target="http://dx.doi.org/10.1002/(SICI)1098-2744(199708)19:4%3C243::AID-MC5%3E3.0.CO;2-D" TargetMode="External"/><Relationship Id="rId24" Type="http://schemas.openxmlformats.org/officeDocument/2006/relationships/image" Target="media/image1.jpeg"/><Relationship Id="rId5" Type="http://schemas.openxmlformats.org/officeDocument/2006/relationships/hyperlink" Target="http://dx.doi.org/10.1083/jcb.106.3.761" TargetMode="External"/><Relationship Id="rId15" Type="http://schemas.openxmlformats.org/officeDocument/2006/relationships/hyperlink" Target="http://dx.doi.org/10.1002/jcb.20212" TargetMode="External"/><Relationship Id="rId23" Type="http://schemas.openxmlformats.org/officeDocument/2006/relationships/hyperlink" Target="http://dx.doi.org/10.1016/j.bbagen.2018.04.012" TargetMode="External"/><Relationship Id="rId28" Type="http://schemas.openxmlformats.org/officeDocument/2006/relationships/image" Target="media/image5.jpeg"/><Relationship Id="rId10" Type="http://schemas.openxmlformats.org/officeDocument/2006/relationships/hyperlink" Target="https://www.ncbi.nlm.nih.gov/pubmed/9290701" TargetMode="External"/><Relationship Id="rId19" Type="http://schemas.openxmlformats.org/officeDocument/2006/relationships/hyperlink" Target="http://dx.doi.org/10.1158/1078-0432.CCR-11-0690" TargetMode="External"/><Relationship Id="rId31" Type="http://schemas.microsoft.com/office/2007/relationships/stylesWithEffects" Target="stylesWithEffects.xml"/><Relationship Id="rId4" Type="http://schemas.openxmlformats.org/officeDocument/2006/relationships/hyperlink" Target="https://www.ncbi.nlm.nih.gov/pubmed/2450098" TargetMode="External"/><Relationship Id="rId9" Type="http://schemas.openxmlformats.org/officeDocument/2006/relationships/hyperlink" Target="http://dx.doi.org/10.1093/carcin/14.5.833" TargetMode="External"/><Relationship Id="rId14" Type="http://schemas.openxmlformats.org/officeDocument/2006/relationships/hyperlink" Target="https://www.ncbi.nlm.nih.gov/pubmed/15389883" TargetMode="External"/><Relationship Id="rId22" Type="http://schemas.openxmlformats.org/officeDocument/2006/relationships/hyperlink" Target="https://www.ncbi.nlm.nih.gov/pubmed/29660373" TargetMode="External"/><Relationship Id="rId27" Type="http://schemas.openxmlformats.org/officeDocument/2006/relationships/image" Target="media/image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10</cp:revision>
  <dcterms:created xsi:type="dcterms:W3CDTF">2019-03-13T13:15:00Z</dcterms:created>
  <dcterms:modified xsi:type="dcterms:W3CDTF">2020-08-12T10:16:00Z</dcterms:modified>
</cp:coreProperties>
</file>