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1B" w:rsidRPr="00451A06" w:rsidRDefault="0051071B" w:rsidP="0051071B">
      <w:pPr>
        <w:jc w:val="center"/>
        <w:rPr>
          <w:b/>
          <w:sz w:val="28"/>
          <w:szCs w:val="28"/>
          <w:lang w:val="en-US"/>
        </w:rPr>
      </w:pPr>
      <w:r w:rsidRPr="0051071B">
        <w:rPr>
          <w:b/>
          <w:sz w:val="28"/>
          <w:szCs w:val="28"/>
        </w:rPr>
        <w:t>ПАСПОРТ ЛИНИИ</w:t>
      </w:r>
    </w:p>
    <w:tbl>
      <w:tblPr>
        <w:tblStyle w:val="a3"/>
        <w:tblpPr w:leftFromText="180" w:rightFromText="180" w:horzAnchor="margin" w:tblpX="-459" w:tblpY="651"/>
        <w:tblW w:w="9889" w:type="dxa"/>
        <w:tblLook w:val="04A0" w:firstRow="1" w:lastRow="0" w:firstColumn="1" w:lastColumn="0" w:noHBand="0" w:noVBand="1"/>
      </w:tblPr>
      <w:tblGrid>
        <w:gridCol w:w="2389"/>
        <w:gridCol w:w="7500"/>
      </w:tblGrid>
      <w:tr w:rsidR="00C12107" w:rsidTr="00A21BF5">
        <w:tc>
          <w:tcPr>
            <w:tcW w:w="2389" w:type="dxa"/>
          </w:tcPr>
          <w:p w:rsidR="00C12107" w:rsidRPr="00C12107" w:rsidRDefault="00C12107" w:rsidP="00A21BF5">
            <w:r w:rsidRPr="00C12107">
              <w:rPr>
                <w:b/>
                <w:bCs/>
                <w:sz w:val="23"/>
                <w:szCs w:val="23"/>
              </w:rPr>
              <w:t>Название</w:t>
            </w:r>
          </w:p>
        </w:tc>
        <w:tc>
          <w:tcPr>
            <w:tcW w:w="7500" w:type="dxa"/>
          </w:tcPr>
          <w:p w:rsidR="00C12107" w:rsidRPr="00FD60A7" w:rsidRDefault="008B5F46" w:rsidP="00A21BF5">
            <w:pPr>
              <w:rPr>
                <w:b/>
              </w:rPr>
            </w:pPr>
            <w:r w:rsidRPr="008B5F46">
              <w:rPr>
                <w:b/>
                <w:lang w:val="en-US"/>
              </w:rPr>
              <w:t>ARPE</w:t>
            </w:r>
            <w:r w:rsidRPr="00FD60A7">
              <w:rPr>
                <w:b/>
              </w:rPr>
              <w:t>-19</w:t>
            </w:r>
            <w:r w:rsidR="00FD60A7" w:rsidRPr="00830B75">
              <w:rPr>
                <w:b/>
              </w:rPr>
              <w:t xml:space="preserve">, </w:t>
            </w:r>
            <w:r w:rsidR="00FD60A7">
              <w:rPr>
                <w:b/>
              </w:rPr>
              <w:t>пассаж 20</w:t>
            </w:r>
            <w:r w:rsidR="00830B75">
              <w:rPr>
                <w:b/>
              </w:rPr>
              <w:t>*</w:t>
            </w:r>
          </w:p>
        </w:tc>
      </w:tr>
      <w:tr w:rsidR="00C12107" w:rsidTr="00A21BF5">
        <w:tc>
          <w:tcPr>
            <w:tcW w:w="2389" w:type="dxa"/>
          </w:tcPr>
          <w:p w:rsidR="00C12107" w:rsidRDefault="00C12107" w:rsidP="00A21BF5">
            <w:r>
              <w:rPr>
                <w:b/>
                <w:bCs/>
                <w:sz w:val="23"/>
                <w:szCs w:val="23"/>
              </w:rPr>
              <w:t>Происхождение</w:t>
            </w:r>
          </w:p>
        </w:tc>
        <w:tc>
          <w:tcPr>
            <w:tcW w:w="7500" w:type="dxa"/>
          </w:tcPr>
          <w:p w:rsidR="00C12107" w:rsidRPr="00FD60A7" w:rsidRDefault="00C12107" w:rsidP="00A21BF5">
            <w:r>
              <w:t xml:space="preserve">Человек, </w:t>
            </w:r>
            <w:r w:rsidR="005209C2">
              <w:t xml:space="preserve">сетчатка </w:t>
            </w:r>
            <w:r w:rsidR="008B5F46">
              <w:t>глаз</w:t>
            </w:r>
            <w:r w:rsidR="005209C2">
              <w:t>а</w:t>
            </w:r>
            <w:r w:rsidR="008B5F46">
              <w:t>, ретинальный пигментный эпителий</w:t>
            </w:r>
          </w:p>
          <w:p w:rsidR="008B5F46" w:rsidRDefault="008B5F46" w:rsidP="00A21BF5">
            <w:r>
              <w:t>Мужчина, 19 лет</w:t>
            </w:r>
          </w:p>
          <w:p w:rsidR="008B5F46" w:rsidRPr="008B5F46" w:rsidRDefault="00FD60A7" w:rsidP="00A21BF5">
            <w:r>
              <w:t xml:space="preserve">Получена </w:t>
            </w:r>
            <w:r w:rsidRPr="00FD60A7">
              <w:t>Amy Aotaki-Keen</w:t>
            </w:r>
            <w:r>
              <w:t xml:space="preserve"> в 1986 г. из глаза мужчины, погибшего в результате травмы головы </w:t>
            </w:r>
          </w:p>
        </w:tc>
      </w:tr>
      <w:tr w:rsidR="008B5F46" w:rsidTr="00A21BF5">
        <w:tc>
          <w:tcPr>
            <w:tcW w:w="2389" w:type="dxa"/>
          </w:tcPr>
          <w:p w:rsidR="008B5F46" w:rsidRDefault="008B5F46" w:rsidP="00A21BF5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Заболевание</w:t>
            </w:r>
          </w:p>
        </w:tc>
        <w:tc>
          <w:tcPr>
            <w:tcW w:w="7500" w:type="dxa"/>
          </w:tcPr>
          <w:p w:rsidR="008B5F46" w:rsidRDefault="008B5F46" w:rsidP="00A21BF5">
            <w:r>
              <w:t>Нормальная</w:t>
            </w:r>
          </w:p>
        </w:tc>
      </w:tr>
      <w:tr w:rsidR="00C12107" w:rsidTr="00A21BF5">
        <w:tc>
          <w:tcPr>
            <w:tcW w:w="2389" w:type="dxa"/>
          </w:tcPr>
          <w:p w:rsidR="00C12107" w:rsidRDefault="00C12107" w:rsidP="00A21BF5">
            <w:r>
              <w:rPr>
                <w:b/>
                <w:bCs/>
                <w:sz w:val="23"/>
                <w:szCs w:val="23"/>
              </w:rPr>
              <w:t>Морфология</w:t>
            </w:r>
          </w:p>
        </w:tc>
        <w:tc>
          <w:tcPr>
            <w:tcW w:w="7500" w:type="dxa"/>
          </w:tcPr>
          <w:p w:rsidR="00C12107" w:rsidRDefault="008B5F46" w:rsidP="00A21BF5">
            <w:r>
              <w:t>Эп</w:t>
            </w:r>
            <w:r w:rsidR="005209C2">
              <w:t>и</w:t>
            </w:r>
            <w:r>
              <w:t>телиоподобная</w:t>
            </w:r>
          </w:p>
        </w:tc>
      </w:tr>
      <w:tr w:rsidR="00C12107" w:rsidTr="00A21BF5">
        <w:tc>
          <w:tcPr>
            <w:tcW w:w="2389" w:type="dxa"/>
          </w:tcPr>
          <w:p w:rsidR="00C12107" w:rsidRPr="008B5F46" w:rsidRDefault="008B5F46" w:rsidP="00A21BF5">
            <w:pPr>
              <w:rPr>
                <w:b/>
              </w:rPr>
            </w:pPr>
            <w:r w:rsidRPr="008B5F46">
              <w:rPr>
                <w:b/>
              </w:rPr>
              <w:t>Способ культивирования</w:t>
            </w:r>
          </w:p>
        </w:tc>
        <w:tc>
          <w:tcPr>
            <w:tcW w:w="7500" w:type="dxa"/>
          </w:tcPr>
          <w:p w:rsidR="00C12107" w:rsidRDefault="008B5F46" w:rsidP="00A21BF5">
            <w:r>
              <w:t>Адгезивный, монослойный</w:t>
            </w:r>
          </w:p>
        </w:tc>
      </w:tr>
      <w:tr w:rsidR="00C12107" w:rsidTr="00A21BF5">
        <w:tc>
          <w:tcPr>
            <w:tcW w:w="2389" w:type="dxa"/>
          </w:tcPr>
          <w:p w:rsidR="00C12107" w:rsidRDefault="008B5F46" w:rsidP="00A21BF5">
            <w:r>
              <w:rPr>
                <w:b/>
                <w:bCs/>
                <w:sz w:val="23"/>
                <w:szCs w:val="23"/>
              </w:rPr>
              <w:t>Условия культивирования</w:t>
            </w:r>
            <w:r w:rsidR="00BD089C">
              <w:rPr>
                <w:b/>
                <w:bCs/>
                <w:sz w:val="23"/>
                <w:szCs w:val="23"/>
              </w:rPr>
              <w:t xml:space="preserve"> и криоконсервации</w:t>
            </w:r>
          </w:p>
        </w:tc>
        <w:tc>
          <w:tcPr>
            <w:tcW w:w="7500" w:type="dxa"/>
          </w:tcPr>
          <w:p w:rsidR="00BD089C" w:rsidRPr="00205EF4" w:rsidRDefault="00BD089C" w:rsidP="00A21BF5">
            <w:r>
              <w:t xml:space="preserve">Среда: </w:t>
            </w:r>
            <w:r w:rsidRPr="007B5340">
              <w:t>DMEM</w:t>
            </w:r>
            <w:r w:rsidR="00F27691" w:rsidRPr="00F27691">
              <w:t>/</w:t>
            </w:r>
            <w:r w:rsidRPr="007B5340">
              <w:t>F</w:t>
            </w:r>
            <w:r w:rsidRPr="00BD089C">
              <w:t xml:space="preserve">12 </w:t>
            </w:r>
            <w:r w:rsidRPr="007B5340">
              <w:t>c</w:t>
            </w:r>
            <w:r w:rsidRPr="00BD089C">
              <w:t xml:space="preserve"> 10% </w:t>
            </w:r>
            <w:r>
              <w:t>эмбриональной телячьей сыворотки</w:t>
            </w:r>
            <w:r w:rsidR="00010923">
              <w:t xml:space="preserve"> и</w:t>
            </w:r>
            <w:r>
              <w:t xml:space="preserve"> </w:t>
            </w:r>
            <w:r w:rsidR="00C048F1" w:rsidRPr="00F5656D">
              <w:t xml:space="preserve">2мМ </w:t>
            </w:r>
            <w:r w:rsidR="00C048F1">
              <w:rPr>
                <w:lang w:val="en-US"/>
              </w:rPr>
              <w:t>L</w:t>
            </w:r>
            <w:r w:rsidR="00C048F1" w:rsidRPr="00F5656D">
              <w:t>-</w:t>
            </w:r>
            <w:r w:rsidR="00C048F1">
              <w:t>глутамина</w:t>
            </w:r>
            <w:r w:rsidR="00205EF4" w:rsidRPr="00205EF4">
              <w:t xml:space="preserve">. </w:t>
            </w:r>
            <w:r w:rsidR="00205EF4">
              <w:t xml:space="preserve">Газовая среда (воздух) с </w:t>
            </w:r>
            <w:r w:rsidR="00205EF4" w:rsidRPr="005209C2">
              <w:t>5%</w:t>
            </w:r>
            <w:r w:rsidR="005209C2">
              <w:t xml:space="preserve"> СО2</w:t>
            </w:r>
          </w:p>
          <w:p w:rsidR="00BD089C" w:rsidRPr="007B5340" w:rsidRDefault="00BD089C" w:rsidP="00A21BF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Для снятия клеток используется 0,05% трипсин с EDTA (коммерческий, например, Gibco, кат.номер 25300096)</w:t>
            </w:r>
          </w:p>
          <w:p w:rsidR="00C12107" w:rsidRDefault="00B63E03" w:rsidP="00A21BF5">
            <w:r>
              <w:t>Кратность р</w:t>
            </w:r>
            <w:r w:rsidR="00BB00CB">
              <w:t>ассев</w:t>
            </w:r>
            <w:r>
              <w:t>а</w:t>
            </w:r>
            <w:r w:rsidR="00BB00CB">
              <w:t xml:space="preserve"> </w:t>
            </w:r>
            <w:r w:rsidR="00BD089C">
              <w:t>1:3 – 1:5</w:t>
            </w:r>
          </w:p>
        </w:tc>
      </w:tr>
      <w:tr w:rsidR="00C12107" w:rsidTr="00A21BF5">
        <w:tc>
          <w:tcPr>
            <w:tcW w:w="2389" w:type="dxa"/>
          </w:tcPr>
          <w:p w:rsidR="00C12107" w:rsidRPr="00BD089C" w:rsidRDefault="00BD089C" w:rsidP="00A21BF5">
            <w:pPr>
              <w:rPr>
                <w:b/>
              </w:rPr>
            </w:pPr>
            <w:r w:rsidRPr="00BD089C">
              <w:rPr>
                <w:b/>
              </w:rPr>
              <w:t>Условия криоконсер</w:t>
            </w:r>
            <w:r w:rsidR="0051071B">
              <w:rPr>
                <w:b/>
              </w:rPr>
              <w:t>ирования</w:t>
            </w:r>
          </w:p>
        </w:tc>
        <w:tc>
          <w:tcPr>
            <w:tcW w:w="7500" w:type="dxa"/>
          </w:tcPr>
          <w:p w:rsidR="00C12107" w:rsidRDefault="00B63E03" w:rsidP="00A21B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Ростовая среда с 10% DMSO</w:t>
            </w:r>
          </w:p>
          <w:p w:rsidR="00205EF4" w:rsidRDefault="00205EF4" w:rsidP="00A21BF5">
            <w:r>
              <w:rPr>
                <w:sz w:val="23"/>
                <w:szCs w:val="23"/>
              </w:rPr>
              <w:t>Хранить в парах жидкого азота</w:t>
            </w:r>
          </w:p>
        </w:tc>
      </w:tr>
      <w:tr w:rsidR="00C12107" w:rsidTr="00A21BF5">
        <w:tc>
          <w:tcPr>
            <w:tcW w:w="2389" w:type="dxa"/>
          </w:tcPr>
          <w:p w:rsidR="00B63E03" w:rsidRPr="00B63E03" w:rsidRDefault="00B63E03" w:rsidP="00A21BF5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Контроль контаминации</w:t>
            </w:r>
          </w:p>
          <w:p w:rsidR="00C12107" w:rsidRDefault="00C12107" w:rsidP="00A21BF5"/>
        </w:tc>
        <w:tc>
          <w:tcPr>
            <w:tcW w:w="7500" w:type="dxa"/>
          </w:tcPr>
          <w:p w:rsidR="002A3C68" w:rsidRPr="002A3C68" w:rsidRDefault="002A3C68" w:rsidP="00A21BF5">
            <w:pPr>
              <w:rPr>
                <w:sz w:val="23"/>
                <w:szCs w:val="23"/>
              </w:rPr>
            </w:pPr>
            <w:r w:rsidRPr="002A3C68">
              <w:rPr>
                <w:sz w:val="23"/>
                <w:szCs w:val="23"/>
              </w:rPr>
              <w:t>Метод оптического анализа культуральной среды:</w:t>
            </w:r>
          </w:p>
          <w:p w:rsidR="002A3C68" w:rsidRPr="002A3C68" w:rsidRDefault="002A3C68" w:rsidP="00A21BF5">
            <w:pPr>
              <w:rPr>
                <w:sz w:val="23"/>
                <w:szCs w:val="23"/>
              </w:rPr>
            </w:pPr>
            <w:r w:rsidRPr="002A3C68">
              <w:rPr>
                <w:sz w:val="23"/>
                <w:szCs w:val="23"/>
              </w:rPr>
              <w:t xml:space="preserve">бактерии, грибы не обнаружены </w:t>
            </w:r>
          </w:p>
          <w:p w:rsidR="00C12107" w:rsidRDefault="002A3C68" w:rsidP="00A21BF5">
            <w:r w:rsidRPr="002A3C68">
              <w:rPr>
                <w:sz w:val="23"/>
                <w:szCs w:val="23"/>
              </w:rPr>
              <w:t>Метод: анализ ПЦР-РВ (чувствительность к более 50 видов микоплазм родов Mycoplasma и Acholeplasma) - Mycoplasma не выявлена</w:t>
            </w:r>
          </w:p>
        </w:tc>
      </w:tr>
      <w:tr w:rsidR="00C12107" w:rsidTr="00A21BF5">
        <w:tc>
          <w:tcPr>
            <w:tcW w:w="2389" w:type="dxa"/>
          </w:tcPr>
          <w:p w:rsidR="00C12107" w:rsidRDefault="00C12107" w:rsidP="00A21BF5">
            <w:r>
              <w:rPr>
                <w:b/>
                <w:bCs/>
                <w:sz w:val="23"/>
                <w:szCs w:val="23"/>
              </w:rPr>
              <w:t>Кариологический анализ</w:t>
            </w:r>
          </w:p>
        </w:tc>
        <w:tc>
          <w:tcPr>
            <w:tcW w:w="7500" w:type="dxa"/>
          </w:tcPr>
          <w:p w:rsidR="00C12107" w:rsidRDefault="00C12107" w:rsidP="00A21BF5">
            <w:pPr>
              <w:tabs>
                <w:tab w:val="left" w:pos="4215"/>
              </w:tabs>
              <w:rPr>
                <w:b/>
              </w:rPr>
            </w:pPr>
            <w:r>
              <w:t>G-дифференциальное окрашивание (2</w:t>
            </w:r>
            <w:r w:rsidRPr="00C12107">
              <w:t>0</w:t>
            </w:r>
            <w:r w:rsidR="00D51C32">
              <w:t xml:space="preserve"> метафаз на 18 пассаже</w:t>
            </w:r>
            <w:r>
              <w:t>).</w:t>
            </w:r>
          </w:p>
          <w:p w:rsidR="00C12107" w:rsidRPr="00C12107" w:rsidRDefault="00C12107" w:rsidP="00A21BF5">
            <w:pPr>
              <w:tabs>
                <w:tab w:val="left" w:pos="4215"/>
              </w:tabs>
            </w:pPr>
            <w:r>
              <w:t xml:space="preserve">Кариотип: </w:t>
            </w:r>
          </w:p>
          <w:p w:rsidR="00C12107" w:rsidRPr="00D51C32" w:rsidRDefault="00C12107" w:rsidP="00A21BF5">
            <w:pPr>
              <w:tabs>
                <w:tab w:val="left" w:pos="4215"/>
              </w:tabs>
            </w:pPr>
            <w:r w:rsidRPr="00D51C32">
              <w:t>46,</w:t>
            </w:r>
            <w:r>
              <w:rPr>
                <w:lang w:val="en-US"/>
              </w:rPr>
              <w:t>XY</w:t>
            </w:r>
            <w:r w:rsidRPr="00D51C32">
              <w:t>,+11,-15,</w:t>
            </w:r>
            <w:r>
              <w:rPr>
                <w:lang w:val="en-US"/>
              </w:rPr>
              <w:t>der</w:t>
            </w:r>
            <w:r w:rsidRPr="00D51C32">
              <w:t>(19)</w:t>
            </w:r>
            <w:r>
              <w:rPr>
                <w:lang w:val="en-US"/>
              </w:rPr>
              <w:t>t</w:t>
            </w:r>
            <w:r w:rsidRPr="00D51C32">
              <w:t>(15;19)(</w:t>
            </w:r>
            <w:r>
              <w:rPr>
                <w:lang w:val="en-US"/>
              </w:rPr>
              <w:t>q</w:t>
            </w:r>
            <w:r w:rsidRPr="00D51C32">
              <w:t>15;</w:t>
            </w:r>
            <w:r>
              <w:rPr>
                <w:lang w:val="en-US"/>
              </w:rPr>
              <w:t>q</w:t>
            </w:r>
            <w:r w:rsidRPr="00D51C32">
              <w:t>13)[</w:t>
            </w:r>
            <w:r>
              <w:rPr>
                <w:lang w:val="en-US"/>
              </w:rPr>
              <w:t>cp</w:t>
            </w:r>
            <w:r w:rsidRPr="00D51C32">
              <w:t>20]</w:t>
            </w:r>
          </w:p>
          <w:p w:rsidR="00C12107" w:rsidRDefault="00213076" w:rsidP="00A21BF5">
            <w:pPr>
              <w:tabs>
                <w:tab w:val="left" w:pos="4215"/>
              </w:tabs>
            </w:pPr>
            <w:r>
              <w:rPr>
                <w:rFonts w:eastAsia="Times New Roman" w:cs="Times New Roman"/>
              </w:rPr>
              <w:t>М</w:t>
            </w:r>
            <w:r w:rsidR="00C12107">
              <w:rPr>
                <w:rFonts w:eastAsia="Times New Roman" w:cs="Times New Roman"/>
              </w:rPr>
              <w:t xml:space="preserve">ужской кариотип с трисомией 11-ой хромосомы, моносомией 15-ой хромосомы и дополнительным материалом участка длинного плеча </w:t>
            </w:r>
            <w:r w:rsidR="00C12107">
              <w:rPr>
                <w:rFonts w:eastAsia="Times New Roman" w:cs="Times New Roman"/>
                <w:lang w:val="en-US"/>
              </w:rPr>
              <w:t>q</w:t>
            </w:r>
            <w:r w:rsidR="00C12107" w:rsidRPr="00C12107">
              <w:rPr>
                <w:rFonts w:eastAsia="Times New Roman" w:cs="Times New Roman"/>
              </w:rPr>
              <w:t>15-</w:t>
            </w:r>
            <w:r w:rsidR="00C12107">
              <w:rPr>
                <w:rFonts w:eastAsia="Times New Roman" w:cs="Times New Roman"/>
                <w:lang w:val="en-US"/>
              </w:rPr>
              <w:t>qter</w:t>
            </w:r>
            <w:r w:rsidR="00C12107" w:rsidRPr="00C12107">
              <w:rPr>
                <w:rFonts w:eastAsia="Times New Roman" w:cs="Times New Roman"/>
              </w:rPr>
              <w:t xml:space="preserve"> </w:t>
            </w:r>
            <w:r w:rsidR="00C12107">
              <w:rPr>
                <w:rFonts w:eastAsia="Times New Roman" w:cs="Times New Roman"/>
              </w:rPr>
              <w:t xml:space="preserve">15-ой хромосомы на участке </w:t>
            </w:r>
            <w:r w:rsidR="00C12107">
              <w:rPr>
                <w:rFonts w:eastAsia="Times New Roman" w:cs="Times New Roman"/>
                <w:lang w:val="en-US"/>
              </w:rPr>
              <w:t>q</w:t>
            </w:r>
            <w:r w:rsidR="00C12107" w:rsidRPr="00C12107">
              <w:rPr>
                <w:rFonts w:eastAsia="Times New Roman" w:cs="Times New Roman"/>
              </w:rPr>
              <w:t xml:space="preserve">13 </w:t>
            </w:r>
            <w:r w:rsidR="00FA5257">
              <w:rPr>
                <w:rFonts w:eastAsia="Times New Roman" w:cs="Times New Roman"/>
              </w:rPr>
              <w:t>длинного плеча 19-ой хромосомы</w:t>
            </w:r>
            <w:bookmarkStart w:id="0" w:name="_GoBack"/>
            <w:bookmarkEnd w:id="0"/>
          </w:p>
        </w:tc>
      </w:tr>
      <w:tr w:rsidR="00D51C32" w:rsidTr="00A21BF5">
        <w:tc>
          <w:tcPr>
            <w:tcW w:w="2389" w:type="dxa"/>
          </w:tcPr>
          <w:p w:rsidR="00D51C32" w:rsidRPr="00D51C32" w:rsidRDefault="00D51C32" w:rsidP="00A21BF5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STR-</w:t>
            </w:r>
            <w:r>
              <w:rPr>
                <w:b/>
                <w:bCs/>
                <w:sz w:val="23"/>
                <w:szCs w:val="23"/>
              </w:rPr>
              <w:t>профиль</w:t>
            </w:r>
          </w:p>
        </w:tc>
        <w:tc>
          <w:tcPr>
            <w:tcW w:w="7500" w:type="dxa"/>
          </w:tcPr>
          <w:p w:rsidR="008B5F46" w:rsidRDefault="008B5F46" w:rsidP="00A21BF5">
            <w:pPr>
              <w:tabs>
                <w:tab w:val="left" w:pos="4215"/>
              </w:tabs>
            </w:pPr>
            <w:r>
              <w:t>Идентичность подтверждена</w:t>
            </w:r>
          </w:p>
          <w:p w:rsidR="004D0EF0" w:rsidRDefault="00D51C32" w:rsidP="00A21BF5">
            <w:pPr>
              <w:tabs>
                <w:tab w:val="left" w:pos="4215"/>
              </w:tabs>
              <w:rPr>
                <w:lang w:val="en-US"/>
              </w:rPr>
            </w:pPr>
            <w:r>
              <w:t>На 17 пассаже</w:t>
            </w:r>
          </w:p>
          <w:p w:rsidR="008B5F46" w:rsidRPr="008B5F46" w:rsidRDefault="00FD60A7" w:rsidP="00A21BF5">
            <w:pPr>
              <w:tabs>
                <w:tab w:val="left" w:pos="4215"/>
              </w:tabs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68841" cy="228997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93" t="18572" r="59421" b="12857"/>
                          <a:stretch/>
                        </pic:blipFill>
                        <pic:spPr bwMode="auto">
                          <a:xfrm>
                            <a:off x="0" y="0"/>
                            <a:ext cx="1169479" cy="2291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0A7" w:rsidRPr="00830B75" w:rsidTr="00A21BF5">
        <w:tc>
          <w:tcPr>
            <w:tcW w:w="2389" w:type="dxa"/>
          </w:tcPr>
          <w:p w:rsidR="00FD60A7" w:rsidRDefault="0051071B" w:rsidP="00A21BF5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Х</w:t>
            </w:r>
            <w:r w:rsidR="00B63E03" w:rsidRPr="00B63E03">
              <w:rPr>
                <w:b/>
                <w:bCs/>
                <w:sz w:val="23"/>
                <w:szCs w:val="23"/>
              </w:rPr>
              <w:t>арактеристики:</w:t>
            </w:r>
          </w:p>
          <w:p w:rsidR="00FD60A7" w:rsidRPr="00FD60A7" w:rsidRDefault="00FD60A7" w:rsidP="00A21BF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500" w:type="dxa"/>
          </w:tcPr>
          <w:p w:rsidR="00FD60A7" w:rsidRDefault="00830B75" w:rsidP="00A21BF5">
            <w:pPr>
              <w:tabs>
                <w:tab w:val="left" w:pos="4215"/>
              </w:tabs>
            </w:pPr>
            <w:r>
              <w:t>Экспрессирует следующие маркеры:</w:t>
            </w:r>
          </w:p>
          <w:p w:rsidR="00830B75" w:rsidRPr="002A3C68" w:rsidRDefault="00830B75" w:rsidP="00A21BF5">
            <w:pPr>
              <w:tabs>
                <w:tab w:val="left" w:pos="4215"/>
              </w:tabs>
            </w:pPr>
            <w:r>
              <w:rPr>
                <w:lang w:val="en-US"/>
              </w:rPr>
              <w:t>Beta</w:t>
            </w:r>
            <w:r w:rsidRPr="002A3C68">
              <w:t>-</w:t>
            </w:r>
            <w:r>
              <w:rPr>
                <w:lang w:val="en-US"/>
              </w:rPr>
              <w:t>catenin</w:t>
            </w:r>
            <w:r w:rsidRPr="002A3C68">
              <w:t xml:space="preserve">, </w:t>
            </w:r>
            <w:r>
              <w:rPr>
                <w:lang w:val="en-US"/>
              </w:rPr>
              <w:t>e</w:t>
            </w:r>
            <w:r w:rsidRPr="002A3C68">
              <w:t>-</w:t>
            </w:r>
            <w:r>
              <w:rPr>
                <w:lang w:val="en-US"/>
              </w:rPr>
              <w:t>cadherin</w:t>
            </w:r>
            <w:r w:rsidRPr="002A3C68">
              <w:t xml:space="preserve">, </w:t>
            </w:r>
            <w:r>
              <w:rPr>
                <w:lang w:val="en-US"/>
              </w:rPr>
              <w:t>GFAP</w:t>
            </w:r>
            <w:r w:rsidRPr="002A3C68">
              <w:t xml:space="preserve">, </w:t>
            </w:r>
            <w:r>
              <w:rPr>
                <w:lang w:val="en-US"/>
              </w:rPr>
              <w:t>BMP</w:t>
            </w:r>
            <w:r w:rsidRPr="002A3C68">
              <w:t xml:space="preserve">-7, </w:t>
            </w:r>
            <w:r>
              <w:rPr>
                <w:lang w:val="en-US"/>
              </w:rPr>
              <w:t>WNT</w:t>
            </w:r>
            <w:r w:rsidRPr="002A3C68">
              <w:t>7</w:t>
            </w:r>
            <w:r>
              <w:rPr>
                <w:lang w:val="en-US"/>
              </w:rPr>
              <w:t>a</w:t>
            </w:r>
            <w:r w:rsidRPr="002A3C68">
              <w:t xml:space="preserve">, </w:t>
            </w:r>
            <w:r>
              <w:rPr>
                <w:lang w:val="en-US"/>
              </w:rPr>
              <w:t>Synapsin</w:t>
            </w:r>
            <w:r w:rsidRPr="002A3C68">
              <w:t>-1</w:t>
            </w:r>
          </w:p>
          <w:p w:rsidR="00830B75" w:rsidRPr="00987FF1" w:rsidRDefault="00987FF1" w:rsidP="00A21BF5">
            <w:pPr>
              <w:tabs>
                <w:tab w:val="left" w:pos="4215"/>
              </w:tabs>
            </w:pPr>
            <w:r>
              <w:t>Время удвоения популяции – 33 ч</w:t>
            </w:r>
          </w:p>
        </w:tc>
      </w:tr>
      <w:tr w:rsidR="00830B75" w:rsidTr="00A21BF5">
        <w:tc>
          <w:tcPr>
            <w:tcW w:w="2389" w:type="dxa"/>
          </w:tcPr>
          <w:p w:rsidR="00830B75" w:rsidRPr="00B63E03" w:rsidRDefault="00830B75" w:rsidP="00A21BF5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Публикации:</w:t>
            </w:r>
          </w:p>
        </w:tc>
        <w:tc>
          <w:tcPr>
            <w:tcW w:w="7500" w:type="dxa"/>
          </w:tcPr>
          <w:p w:rsidR="00830B75" w:rsidRPr="00830B75" w:rsidRDefault="00830B75" w:rsidP="00A21BF5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Fonts w:ascii="inherit" w:hAnsi="inherit"/>
                <w:color w:val="444444"/>
                <w:sz w:val="18"/>
                <w:szCs w:val="18"/>
                <w:lang w:val="en-US"/>
              </w:rPr>
            </w:pPr>
            <w:r w:rsidRPr="00830B75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Hazim RA, et al. Rapid differentiation of the human RPE cell line, ARPE-19, induced by nicotinamide. Exp Eye Res 179: 18-24, 2018. PubMed: </w:t>
            </w:r>
            <w:hyperlink r:id="rId7" w:tgtFrame="_blank" w:history="1">
              <w:r w:rsidRPr="00830B75">
                <w:rPr>
                  <w:rStyle w:val="a7"/>
                  <w:rFonts w:ascii="inherit" w:hAnsi="inherit"/>
                  <w:color w:val="111111"/>
                  <w:sz w:val="18"/>
                  <w:szCs w:val="18"/>
                  <w:bdr w:val="none" w:sz="0" w:space="0" w:color="auto" w:frame="1"/>
                  <w:lang w:val="en-US"/>
                </w:rPr>
                <w:t>30336127</w:t>
              </w:r>
            </w:hyperlink>
          </w:p>
          <w:p w:rsidR="00830B75" w:rsidRPr="002A3C68" w:rsidRDefault="00830B75" w:rsidP="00A21BF5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Fonts w:ascii="inherit" w:hAnsi="inherit"/>
                <w:color w:val="444444"/>
                <w:sz w:val="18"/>
                <w:szCs w:val="18"/>
                <w:lang w:val="en-US"/>
              </w:rPr>
            </w:pPr>
            <w:r w:rsidRPr="00830B75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Dunn KC, et al. ARPE-19, A human retinal pigment epithelial cell line with differentiated properties. </w:t>
            </w:r>
            <w:r w:rsidRPr="002A3C68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Exp. Eye Res. 62: 155-169, 1996. PubMed: </w:t>
            </w:r>
            <w:hyperlink r:id="rId8" w:tgtFrame="_blank" w:history="1">
              <w:r w:rsidRPr="002A3C68">
                <w:rPr>
                  <w:rStyle w:val="a7"/>
                  <w:rFonts w:ascii="inherit" w:hAnsi="inherit"/>
                  <w:color w:val="111111"/>
                  <w:sz w:val="18"/>
                  <w:szCs w:val="18"/>
                  <w:bdr w:val="none" w:sz="0" w:space="0" w:color="auto" w:frame="1"/>
                  <w:lang w:val="en-US"/>
                </w:rPr>
                <w:t>8698076</w:t>
              </w:r>
            </w:hyperlink>
          </w:p>
          <w:p w:rsidR="00830B75" w:rsidRPr="00830B75" w:rsidRDefault="00830B75" w:rsidP="00A21BF5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Fonts w:ascii="inherit" w:hAnsi="inherit"/>
                <w:color w:val="444444"/>
                <w:sz w:val="18"/>
                <w:szCs w:val="18"/>
                <w:lang w:val="en-US"/>
              </w:rPr>
            </w:pPr>
            <w:r w:rsidRPr="00830B75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Maidji E, et al. Accessory human cytomegalovirus glycoprotein US9 in the unique short component of the viral genome promotes cell-to-cell transmission of virus in polarized epithelial cells. J. Virol. </w:t>
            </w:r>
            <w:r w:rsidRPr="00830B75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lastRenderedPageBreak/>
              <w:t>70: 8402-8410, 1996. PubMed: </w:t>
            </w:r>
            <w:hyperlink r:id="rId9" w:tgtFrame="_blank" w:history="1">
              <w:r w:rsidRPr="00830B75">
                <w:rPr>
                  <w:rStyle w:val="a7"/>
                  <w:rFonts w:ascii="inherit" w:hAnsi="inherit"/>
                  <w:color w:val="111111"/>
                  <w:sz w:val="18"/>
                  <w:szCs w:val="18"/>
                  <w:bdr w:val="none" w:sz="0" w:space="0" w:color="auto" w:frame="1"/>
                  <w:lang w:val="en-US"/>
                </w:rPr>
                <w:t>8970961</w:t>
              </w:r>
            </w:hyperlink>
          </w:p>
          <w:p w:rsidR="00830B75" w:rsidRPr="00830B75" w:rsidRDefault="00830B75" w:rsidP="00A21BF5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Fonts w:ascii="inherit" w:hAnsi="inherit"/>
                <w:color w:val="444444"/>
                <w:sz w:val="18"/>
                <w:szCs w:val="18"/>
                <w:lang w:val="en-US"/>
              </w:rPr>
            </w:pPr>
            <w:r w:rsidRPr="00830B75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Holtkamp GM, et al. Polarized secretion of IL-6 and IL-8 by human retinal pigment epithelial cells. Clin. Exp. Immunol. 112: 34-43, 1998. PubMed: </w:t>
            </w:r>
            <w:hyperlink r:id="rId10" w:tgtFrame="_blank" w:history="1">
              <w:r w:rsidRPr="00830B75">
                <w:rPr>
                  <w:rStyle w:val="a7"/>
                  <w:rFonts w:ascii="inherit" w:hAnsi="inherit"/>
                  <w:color w:val="111111"/>
                  <w:sz w:val="18"/>
                  <w:szCs w:val="18"/>
                  <w:bdr w:val="none" w:sz="0" w:space="0" w:color="auto" w:frame="1"/>
                  <w:lang w:val="en-US"/>
                </w:rPr>
                <w:t>9566787</w:t>
              </w:r>
            </w:hyperlink>
          </w:p>
          <w:p w:rsidR="00830B75" w:rsidRPr="00830B75" w:rsidRDefault="00830B75" w:rsidP="00A21BF5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Fonts w:ascii="inherit" w:hAnsi="inherit"/>
                <w:color w:val="444444"/>
                <w:sz w:val="18"/>
                <w:szCs w:val="18"/>
                <w:lang w:val="en-US"/>
              </w:rPr>
            </w:pPr>
            <w:r w:rsidRPr="00830B75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Finnemann SC, et al. Phagocytosis of rod outer segments by retinal pigment epithelial cells requires alpha(v)beta5 integrin for binding but not for internalization. Proc. Natl. Acad. Sci. USA 94: 12932-12937, 1997. PubMed: </w:t>
            </w:r>
            <w:hyperlink r:id="rId11" w:tgtFrame="_blank" w:history="1">
              <w:r w:rsidRPr="00830B75">
                <w:rPr>
                  <w:rStyle w:val="a7"/>
                  <w:rFonts w:ascii="inherit" w:hAnsi="inherit"/>
                  <w:color w:val="111111"/>
                  <w:sz w:val="18"/>
                  <w:szCs w:val="18"/>
                  <w:bdr w:val="none" w:sz="0" w:space="0" w:color="auto" w:frame="1"/>
                  <w:lang w:val="en-US"/>
                </w:rPr>
                <w:t>9371778</w:t>
              </w:r>
            </w:hyperlink>
          </w:p>
          <w:p w:rsidR="00830B75" w:rsidRPr="00830B75" w:rsidRDefault="00830B75" w:rsidP="00A21BF5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Fonts w:ascii="inherit" w:hAnsi="inherit"/>
                <w:color w:val="444444"/>
                <w:sz w:val="18"/>
                <w:szCs w:val="18"/>
                <w:lang w:val="en-US"/>
              </w:rPr>
            </w:pPr>
            <w:r w:rsidRPr="00830B75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Handa JT, et al. The advanced glycation endproduct pentosidine induces the expression of PDGF-B in human retinal pigment epithelial cells. Exp. Eye Res. 66: 411-419, 1998. PubMed: </w:t>
            </w:r>
            <w:hyperlink r:id="rId12" w:tgtFrame="_blank" w:history="1">
              <w:r w:rsidRPr="00830B75">
                <w:rPr>
                  <w:rStyle w:val="a7"/>
                  <w:rFonts w:ascii="inherit" w:hAnsi="inherit"/>
                  <w:color w:val="111111"/>
                  <w:sz w:val="18"/>
                  <w:szCs w:val="18"/>
                  <w:bdr w:val="none" w:sz="0" w:space="0" w:color="auto" w:frame="1"/>
                  <w:lang w:val="en-US"/>
                </w:rPr>
                <w:t>9593635</w:t>
              </w:r>
            </w:hyperlink>
          </w:p>
          <w:p w:rsidR="00830B75" w:rsidRPr="00830B75" w:rsidRDefault="00830B75" w:rsidP="00A21BF5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Fonts w:ascii="inherit" w:hAnsi="inherit"/>
                <w:color w:val="444444"/>
                <w:sz w:val="18"/>
                <w:szCs w:val="18"/>
                <w:lang w:val="en-US"/>
              </w:rPr>
            </w:pPr>
            <w:r w:rsidRPr="00830B75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Dunn KC, et al. Use of the ARPE-19 cell line as a model of RPE polarity: basolateral secretion of FGF5.. Invest. Ophthalmol. Vis. Sci. 39: 2744-2749, 1998. PubMed: </w:t>
            </w:r>
            <w:hyperlink r:id="rId13" w:tgtFrame="_blank" w:history="1">
              <w:r w:rsidRPr="00830B75">
                <w:rPr>
                  <w:rStyle w:val="a7"/>
                  <w:rFonts w:ascii="inherit" w:hAnsi="inherit"/>
                  <w:color w:val="111111"/>
                  <w:sz w:val="18"/>
                  <w:szCs w:val="18"/>
                  <w:bdr w:val="none" w:sz="0" w:space="0" w:color="auto" w:frame="1"/>
                  <w:lang w:val="en-US"/>
                </w:rPr>
                <w:t>9856785</w:t>
              </w:r>
            </w:hyperlink>
          </w:p>
          <w:p w:rsidR="00830B75" w:rsidRPr="00830B75" w:rsidRDefault="00830B75" w:rsidP="00A21BF5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Fonts w:ascii="inherit" w:hAnsi="inherit"/>
                <w:color w:val="444444"/>
                <w:sz w:val="18"/>
                <w:szCs w:val="18"/>
                <w:lang w:val="en-US"/>
              </w:rPr>
            </w:pPr>
            <w:r w:rsidRPr="00830B75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Tugizov S, et al. An acidic cluster in the cytosolic domain of human cytomegalovirus glycoprotein B is a signal for endocytosis from the plasma membrane. J. Virol. 73: 8677-8688, 1999. PubMed: </w:t>
            </w:r>
            <w:hyperlink r:id="rId14" w:tgtFrame="_blank" w:history="1">
              <w:r w:rsidRPr="00830B75">
                <w:rPr>
                  <w:rStyle w:val="a7"/>
                  <w:rFonts w:ascii="inherit" w:hAnsi="inherit"/>
                  <w:color w:val="111111"/>
                  <w:sz w:val="18"/>
                  <w:szCs w:val="18"/>
                  <w:bdr w:val="none" w:sz="0" w:space="0" w:color="auto" w:frame="1"/>
                  <w:lang w:val="en-US"/>
                </w:rPr>
                <w:t>10482621</w:t>
              </w:r>
            </w:hyperlink>
          </w:p>
          <w:p w:rsidR="00830B75" w:rsidRPr="00830B75" w:rsidRDefault="00830B75" w:rsidP="00A21BF5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Fonts w:ascii="inherit" w:hAnsi="inherit"/>
                <w:color w:val="444444"/>
                <w:sz w:val="18"/>
                <w:szCs w:val="18"/>
                <w:lang w:val="en-US"/>
              </w:rPr>
            </w:pPr>
            <w:r w:rsidRPr="00830B75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Orten DJ, et al. Analysis of DNA elements that modulate myosin VIIA expression in humans. Hum. Mutat. 14: 354, 1999. PubMed: </w:t>
            </w:r>
            <w:hyperlink r:id="rId15" w:tgtFrame="_blank" w:history="1">
              <w:r w:rsidRPr="00830B75">
                <w:rPr>
                  <w:rStyle w:val="a7"/>
                  <w:rFonts w:ascii="inherit" w:hAnsi="inherit"/>
                  <w:color w:val="111111"/>
                  <w:sz w:val="18"/>
                  <w:szCs w:val="18"/>
                  <w:bdr w:val="none" w:sz="0" w:space="0" w:color="auto" w:frame="1"/>
                  <w:lang w:val="en-US"/>
                </w:rPr>
                <w:t>10502787</w:t>
              </w:r>
            </w:hyperlink>
          </w:p>
          <w:p w:rsidR="00830B75" w:rsidRPr="00830B75" w:rsidRDefault="00830B75" w:rsidP="00A21BF5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Fonts w:ascii="inherit" w:hAnsi="inherit"/>
                <w:color w:val="444444"/>
                <w:sz w:val="18"/>
                <w:szCs w:val="18"/>
                <w:lang w:val="en-US"/>
              </w:rPr>
            </w:pPr>
            <w:r w:rsidRPr="00830B75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Rajan PD, et al. Expression of the extraneuronal monoamine transporter in RPE and neural retina. Curr. Eye Res. 20: 195-204, 2000. PubMed: </w:t>
            </w:r>
            <w:hyperlink r:id="rId16" w:tgtFrame="_blank" w:history="1">
              <w:r w:rsidRPr="00830B75">
                <w:rPr>
                  <w:rStyle w:val="a7"/>
                  <w:rFonts w:ascii="inherit" w:hAnsi="inherit"/>
                  <w:color w:val="111111"/>
                  <w:sz w:val="18"/>
                  <w:szCs w:val="18"/>
                  <w:bdr w:val="none" w:sz="0" w:space="0" w:color="auto" w:frame="1"/>
                  <w:lang w:val="en-US"/>
                </w:rPr>
                <w:t>10694895</w:t>
              </w:r>
            </w:hyperlink>
          </w:p>
          <w:p w:rsidR="00830B75" w:rsidRPr="00830B75" w:rsidRDefault="00830B75" w:rsidP="00A21BF5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Fonts w:ascii="inherit" w:hAnsi="inherit"/>
                <w:color w:val="444444"/>
                <w:sz w:val="18"/>
                <w:szCs w:val="18"/>
                <w:lang w:val="en-US"/>
              </w:rPr>
            </w:pPr>
            <w:r w:rsidRPr="00830B75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Janssen JJ, et al. Retinoic acid delays transcription of human retinal pigment neuroepithelium marker genes in ARPE-19 cells. Neuroreport 11: 1571-1579, 2000. PubMed: </w:t>
            </w:r>
            <w:hyperlink r:id="rId17" w:tgtFrame="_blank" w:history="1">
              <w:r w:rsidRPr="00830B75">
                <w:rPr>
                  <w:rStyle w:val="a7"/>
                  <w:rFonts w:ascii="inherit" w:hAnsi="inherit"/>
                  <w:color w:val="111111"/>
                  <w:sz w:val="18"/>
                  <w:szCs w:val="18"/>
                  <w:bdr w:val="none" w:sz="0" w:space="0" w:color="auto" w:frame="1"/>
                  <w:lang w:val="en-US"/>
                </w:rPr>
                <w:t>10841379</w:t>
              </w:r>
            </w:hyperlink>
          </w:p>
          <w:p w:rsidR="00830B75" w:rsidRPr="00830B75" w:rsidRDefault="00830B75" w:rsidP="00A21BF5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Fonts w:ascii="inherit" w:hAnsi="inherit"/>
                <w:color w:val="444444"/>
                <w:sz w:val="18"/>
                <w:szCs w:val="18"/>
                <w:lang w:val="en-US"/>
              </w:rPr>
            </w:pPr>
            <w:r w:rsidRPr="00830B75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>Udono T, et al. Adrenomedullin in cultured human retinal pigment epithelial cells. Invest. Ophthalmol. Vis. Sci. 41: 1962-1970, 2000. PubMed: </w:t>
            </w:r>
            <w:hyperlink r:id="rId18" w:tgtFrame="_blank" w:history="1">
              <w:r w:rsidRPr="00830B75">
                <w:rPr>
                  <w:rStyle w:val="a7"/>
                  <w:rFonts w:ascii="inherit" w:hAnsi="inherit"/>
                  <w:color w:val="111111"/>
                  <w:sz w:val="18"/>
                  <w:szCs w:val="18"/>
                  <w:bdr w:val="none" w:sz="0" w:space="0" w:color="auto" w:frame="1"/>
                  <w:lang w:val="en-US"/>
                </w:rPr>
                <w:t>10845623</w:t>
              </w:r>
            </w:hyperlink>
          </w:p>
          <w:p w:rsidR="00830B75" w:rsidRPr="00830B75" w:rsidRDefault="00830B75" w:rsidP="00A21BF5">
            <w:pPr>
              <w:pStyle w:val="a6"/>
              <w:spacing w:before="0" w:beforeAutospacing="0" w:after="0" w:afterAutospacing="0" w:line="330" w:lineRule="atLeast"/>
              <w:textAlignment w:val="baseline"/>
              <w:rPr>
                <w:rFonts w:ascii="inherit" w:hAnsi="inherit"/>
                <w:color w:val="444444"/>
                <w:sz w:val="18"/>
                <w:szCs w:val="18"/>
              </w:rPr>
            </w:pPr>
            <w:r w:rsidRPr="00830B75">
              <w:rPr>
                <w:rFonts w:ascii="inherit" w:hAnsi="inherit"/>
                <w:color w:val="444444"/>
                <w:sz w:val="18"/>
                <w:szCs w:val="18"/>
                <w:lang w:val="en-US"/>
              </w:rPr>
              <w:t xml:space="preserve">Sparrow JR, et al. The lipofuscin fluorophore A2E mediates blue light-induced damage to retinal pigmented epithelial cells. </w:t>
            </w:r>
            <w:r w:rsidRPr="00830B75">
              <w:rPr>
                <w:rFonts w:ascii="inherit" w:hAnsi="inherit"/>
                <w:color w:val="444444"/>
                <w:sz w:val="18"/>
                <w:szCs w:val="18"/>
              </w:rPr>
              <w:t>Invest. Ophthalmol. Vis. Sci. 41: 1981-1989, 2000. PubMed: </w:t>
            </w:r>
            <w:hyperlink r:id="rId19" w:tgtFrame="_blank" w:history="1">
              <w:r w:rsidRPr="00830B75">
                <w:rPr>
                  <w:rStyle w:val="a7"/>
                  <w:rFonts w:ascii="inherit" w:hAnsi="inherit"/>
                  <w:color w:val="111111"/>
                  <w:sz w:val="18"/>
                  <w:szCs w:val="18"/>
                  <w:bdr w:val="none" w:sz="0" w:space="0" w:color="auto" w:frame="1"/>
                </w:rPr>
                <w:t>10845625</w:t>
              </w:r>
            </w:hyperlink>
          </w:p>
          <w:p w:rsidR="00830B75" w:rsidRDefault="00830B75" w:rsidP="00A21BF5">
            <w:pPr>
              <w:tabs>
                <w:tab w:val="left" w:pos="4215"/>
              </w:tabs>
            </w:pPr>
          </w:p>
        </w:tc>
      </w:tr>
    </w:tbl>
    <w:p w:rsidR="009137D9" w:rsidRPr="009137D9" w:rsidRDefault="00830B75" w:rsidP="009137D9">
      <w:pPr>
        <w:spacing w:after="0"/>
      </w:pPr>
      <w:r>
        <w:t>*</w:t>
      </w:r>
      <w:r>
        <w:rPr>
          <w:b/>
        </w:rPr>
        <w:t xml:space="preserve"> </w:t>
      </w:r>
      <w:r>
        <w:t>М</w:t>
      </w:r>
      <w:r w:rsidR="00145755">
        <w:t>ожет проходить до 5</w:t>
      </w:r>
      <w:r w:rsidR="009137D9">
        <w:t>0</w:t>
      </w:r>
      <w:r w:rsidRPr="00830B75">
        <w:t xml:space="preserve"> пассажей</w:t>
      </w:r>
    </w:p>
    <w:p w:rsidR="00B63E03" w:rsidRDefault="009137D9" w:rsidP="00145755">
      <w:pPr>
        <w:spacing w:after="0"/>
      </w:pPr>
      <w:r w:rsidRPr="00451A06">
        <w:t xml:space="preserve">** </w:t>
      </w:r>
      <w:r>
        <w:t>Дата проведения криоконсервации: 19.05.2018 г.</w:t>
      </w:r>
    </w:p>
    <w:p w:rsidR="00F27691" w:rsidRDefault="00F27691" w:rsidP="00F27691">
      <w:pPr>
        <w:spacing w:after="0"/>
        <w:rPr>
          <w:b/>
          <w:u w:val="single"/>
        </w:rPr>
      </w:pPr>
    </w:p>
    <w:p w:rsidR="008B0D85" w:rsidRPr="008B0D85" w:rsidRDefault="008B0D85" w:rsidP="00F27691">
      <w:pPr>
        <w:spacing w:after="0"/>
        <w:rPr>
          <w:b/>
          <w:u w:val="single"/>
        </w:rPr>
      </w:pPr>
      <w:r w:rsidRPr="008B0D85">
        <w:rPr>
          <w:b/>
          <w:u w:val="single"/>
        </w:rPr>
        <w:t>Фотографии культуры</w:t>
      </w:r>
    </w:p>
    <w:p w:rsidR="008B0D85" w:rsidRPr="00145755" w:rsidRDefault="00145755" w:rsidP="00145755">
      <w:pPr>
        <w:spacing w:after="0"/>
      </w:pPr>
      <w:r>
        <w:rPr>
          <w:noProof/>
          <w:lang w:eastAsia="ru-RU"/>
        </w:rPr>
        <w:drawing>
          <wp:inline distT="0" distB="0" distL="0" distR="0" wp14:anchorId="4D71582D" wp14:editId="10508E3E">
            <wp:extent cx="2910177" cy="2191265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200 ARPE-19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310" cy="219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0B75" w:rsidRPr="00145755">
        <w:t xml:space="preserve">  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02BEB4E" wp14:editId="3FEEF949">
            <wp:extent cx="2902226" cy="2185278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100 ARPE-19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863" cy="218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755" w:rsidRDefault="00145755">
      <w:pPr>
        <w:rPr>
          <w:sz w:val="20"/>
          <w:szCs w:val="20"/>
        </w:rPr>
      </w:pPr>
      <w:r w:rsidRPr="00145755">
        <w:rPr>
          <w:sz w:val="20"/>
          <w:szCs w:val="20"/>
        </w:rPr>
        <w:t xml:space="preserve">Клетки линии </w:t>
      </w:r>
      <w:r w:rsidRPr="00145755">
        <w:rPr>
          <w:sz w:val="20"/>
          <w:szCs w:val="20"/>
          <w:lang w:val="en-US"/>
        </w:rPr>
        <w:t>ARPE</w:t>
      </w:r>
      <w:r w:rsidRPr="00145755">
        <w:rPr>
          <w:sz w:val="20"/>
          <w:szCs w:val="20"/>
        </w:rPr>
        <w:t>-19 на следующий день после пересева и образовавшие монослой (разное увеличение)</w:t>
      </w:r>
    </w:p>
    <w:p w:rsidR="00F27691" w:rsidRDefault="00F27691" w:rsidP="00145755">
      <w:pPr>
        <w:spacing w:after="0"/>
      </w:pPr>
    </w:p>
    <w:p w:rsidR="00145755" w:rsidRPr="00145755" w:rsidRDefault="00145755" w:rsidP="00145755">
      <w:pPr>
        <w:spacing w:after="0"/>
      </w:pPr>
      <w:r w:rsidRPr="00145755">
        <w:t>Ответственный сотрудник</w:t>
      </w:r>
    </w:p>
    <w:p w:rsidR="00145755" w:rsidRDefault="00145755" w:rsidP="00145755">
      <w:pPr>
        <w:spacing w:after="0"/>
      </w:pPr>
      <w:r w:rsidRPr="00145755">
        <w:t>УНУ ККК ИБР РАН, к.б.н.</w:t>
      </w:r>
      <w:r>
        <w:t xml:space="preserve">                                                                                                                       Алпеева Е.В.</w:t>
      </w:r>
    </w:p>
    <w:p w:rsidR="00145755" w:rsidRDefault="00145755" w:rsidP="00145755">
      <w:pPr>
        <w:spacing w:after="0"/>
      </w:pPr>
    </w:p>
    <w:p w:rsidR="00145755" w:rsidRPr="00145755" w:rsidRDefault="00145755" w:rsidP="00145755">
      <w:pPr>
        <w:spacing w:after="0"/>
      </w:pPr>
      <w:r>
        <w:t>Ученый секретарь ИБР РАН, к.б.н.                                                                                               Хабарова М.Ю.</w:t>
      </w:r>
    </w:p>
    <w:sectPr w:rsidR="00145755" w:rsidRPr="00145755" w:rsidSect="00A21BF5">
      <w:footerReference w:type="default" r:id="rId22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4C6" w:rsidRDefault="000F44C6" w:rsidP="00A21BF5">
      <w:pPr>
        <w:spacing w:after="0" w:line="240" w:lineRule="auto"/>
      </w:pPr>
      <w:r>
        <w:separator/>
      </w:r>
    </w:p>
  </w:endnote>
  <w:endnote w:type="continuationSeparator" w:id="0">
    <w:p w:rsidR="000F44C6" w:rsidRDefault="000F44C6" w:rsidP="00A21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1605069"/>
      <w:docPartObj>
        <w:docPartGallery w:val="Page Numbers (Bottom of Page)"/>
        <w:docPartUnique/>
      </w:docPartObj>
    </w:sdtPr>
    <w:sdtContent>
      <w:p w:rsidR="00A21BF5" w:rsidRDefault="00A21BF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257">
          <w:rPr>
            <w:noProof/>
          </w:rPr>
          <w:t>1</w:t>
        </w:r>
        <w:r>
          <w:fldChar w:fldCharType="end"/>
        </w:r>
      </w:p>
    </w:sdtContent>
  </w:sdt>
  <w:p w:rsidR="00A21BF5" w:rsidRDefault="00A21B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4C6" w:rsidRDefault="000F44C6" w:rsidP="00A21BF5">
      <w:pPr>
        <w:spacing w:after="0" w:line="240" w:lineRule="auto"/>
      </w:pPr>
      <w:r>
        <w:separator/>
      </w:r>
    </w:p>
  </w:footnote>
  <w:footnote w:type="continuationSeparator" w:id="0">
    <w:p w:rsidR="000F44C6" w:rsidRDefault="000F44C6" w:rsidP="00A21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A18"/>
    <w:rsid w:val="00010923"/>
    <w:rsid w:val="00046F00"/>
    <w:rsid w:val="000F44C6"/>
    <w:rsid w:val="00131C98"/>
    <w:rsid w:val="00145755"/>
    <w:rsid w:val="00205EF4"/>
    <w:rsid w:val="00213076"/>
    <w:rsid w:val="002A3C68"/>
    <w:rsid w:val="00451A06"/>
    <w:rsid w:val="004D0EF0"/>
    <w:rsid w:val="0051071B"/>
    <w:rsid w:val="00510A18"/>
    <w:rsid w:val="005209C2"/>
    <w:rsid w:val="007B5340"/>
    <w:rsid w:val="00830B75"/>
    <w:rsid w:val="008B0D85"/>
    <w:rsid w:val="008B5F46"/>
    <w:rsid w:val="009137D9"/>
    <w:rsid w:val="00987FF1"/>
    <w:rsid w:val="00A21BF5"/>
    <w:rsid w:val="00B2300D"/>
    <w:rsid w:val="00B63E03"/>
    <w:rsid w:val="00B913F4"/>
    <w:rsid w:val="00BB00CB"/>
    <w:rsid w:val="00BD089C"/>
    <w:rsid w:val="00C048F1"/>
    <w:rsid w:val="00C12107"/>
    <w:rsid w:val="00D51C32"/>
    <w:rsid w:val="00F27691"/>
    <w:rsid w:val="00FA5257"/>
    <w:rsid w:val="00FD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7F2B0"/>
  <w15:docId w15:val="{6E266D5D-3C34-4274-ACB6-75FD113F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3F4"/>
  </w:style>
  <w:style w:type="paragraph" w:styleId="2">
    <w:name w:val="heading 2"/>
    <w:basedOn w:val="a"/>
    <w:link w:val="20"/>
    <w:uiPriority w:val="9"/>
    <w:qFormat/>
    <w:rsid w:val="00BD0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F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D08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B63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83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30B7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21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1BF5"/>
  </w:style>
  <w:style w:type="paragraph" w:styleId="aa">
    <w:name w:val="footer"/>
    <w:basedOn w:val="a"/>
    <w:link w:val="ab"/>
    <w:uiPriority w:val="99"/>
    <w:unhideWhenUsed/>
    <w:rsid w:val="00A21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1BF5"/>
  </w:style>
  <w:style w:type="character" w:styleId="ac">
    <w:name w:val="annotation reference"/>
    <w:basedOn w:val="a0"/>
    <w:uiPriority w:val="99"/>
    <w:semiHidden/>
    <w:unhideWhenUsed/>
    <w:rsid w:val="00A21BF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21BF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21BF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21BF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21B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sites/entrez?cmd=Retrieve&amp;db=PubMed&amp;list_uids=8698076&amp;dopt=AbstractPlus" TargetMode="External"/><Relationship Id="rId13" Type="http://schemas.openxmlformats.org/officeDocument/2006/relationships/hyperlink" Target="http://www.ncbi.nlm.nih.gov/sites/entrez?cmd=Retrieve&amp;db=PubMed&amp;list_uids=9856785&amp;dopt=AbstractPlus" TargetMode="External"/><Relationship Id="rId18" Type="http://schemas.openxmlformats.org/officeDocument/2006/relationships/hyperlink" Target="http://www.ncbi.nlm.nih.gov/sites/entrez?cmd=Retrieve&amp;db=PubMed&amp;list_uids=10845623&amp;dopt=AbstractPlus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3.jpeg"/><Relationship Id="rId7" Type="http://schemas.openxmlformats.org/officeDocument/2006/relationships/hyperlink" Target="http://www.ncbi.nlm.nih.gov/sites/entrez?cmd=Retrieve&amp;db=PubMed&amp;list_uids=30336127&amp;dopt=AbstractPlus" TargetMode="External"/><Relationship Id="rId12" Type="http://schemas.openxmlformats.org/officeDocument/2006/relationships/hyperlink" Target="http://www.ncbi.nlm.nih.gov/sites/entrez?cmd=Retrieve&amp;db=PubMed&amp;list_uids=9593635&amp;dopt=AbstractPlus" TargetMode="External"/><Relationship Id="rId17" Type="http://schemas.openxmlformats.org/officeDocument/2006/relationships/hyperlink" Target="http://www.ncbi.nlm.nih.gov/sites/entrez?cmd=Retrieve&amp;db=PubMed&amp;list_uids=10841379&amp;dopt=AbstractPlu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cbi.nlm.nih.gov/sites/entrez?cmd=Retrieve&amp;db=PubMed&amp;list_uids=10694895&amp;dopt=AbstractPlus" TargetMode="External"/><Relationship Id="rId20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cbi.nlm.nih.gov/sites/entrez?cmd=Retrieve&amp;db=PubMed&amp;list_uids=9371778&amp;dopt=AbstractPlus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ncbi.nlm.nih.gov/sites/entrez?cmd=Retrieve&amp;db=PubMed&amp;list_uids=10502787&amp;dopt=AbstractPlu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cbi.nlm.nih.gov/sites/entrez?cmd=Retrieve&amp;db=PubMed&amp;list_uids=9566787&amp;dopt=AbstractPlus" TargetMode="External"/><Relationship Id="rId19" Type="http://schemas.openxmlformats.org/officeDocument/2006/relationships/hyperlink" Target="http://www.ncbi.nlm.nih.gov/sites/entrez?cmd=Retrieve&amp;db=PubMed&amp;list_uids=10845625&amp;dopt=AbstractPlu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cbi.nlm.nih.gov/sites/entrez?cmd=Retrieve&amp;db=PubMed&amp;list_uids=8970961&amp;dopt=AbstractPlus" TargetMode="External"/><Relationship Id="rId14" Type="http://schemas.openxmlformats.org/officeDocument/2006/relationships/hyperlink" Target="http://www.ncbi.nlm.nih.gov/sites/entrez?cmd=Retrieve&amp;db=PubMed&amp;list_uids=10482621&amp;dopt=AbstractPlu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4374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27</cp:revision>
  <dcterms:created xsi:type="dcterms:W3CDTF">2019-02-22T16:17:00Z</dcterms:created>
  <dcterms:modified xsi:type="dcterms:W3CDTF">2023-08-15T12:22:00Z</dcterms:modified>
</cp:coreProperties>
</file>